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602"/>
        <w:jc w:val="right"/>
        <w:rPr>
          <w:rFonts w:ascii="仿宋" w:hAnsi="仿宋"/>
          <w:b/>
          <w:color w:val="auto"/>
          <w:sz w:val="36"/>
          <w:szCs w:val="36"/>
        </w:rPr>
      </w:pPr>
      <w:r>
        <w:rPr>
          <w:rFonts w:hint="eastAsia" w:ascii="仿宋" w:hAnsi="仿宋"/>
          <w:b/>
          <w:color w:val="auto"/>
          <w:sz w:val="30"/>
          <w:szCs w:val="30"/>
        </w:rPr>
        <w:t>采购编号：KY20220412B027</w:t>
      </w:r>
    </w:p>
    <w:p>
      <w:pPr>
        <w:jc w:val="center"/>
        <w:rPr>
          <w:rFonts w:ascii="仿宋" w:hAnsi="仿宋"/>
          <w:b/>
          <w:color w:val="auto"/>
          <w:sz w:val="52"/>
          <w:szCs w:val="52"/>
        </w:rPr>
      </w:pPr>
    </w:p>
    <w:p>
      <w:pPr>
        <w:jc w:val="center"/>
        <w:rPr>
          <w:rFonts w:ascii="仿宋" w:hAnsi="仿宋"/>
          <w:b/>
          <w:color w:val="auto"/>
          <w:sz w:val="52"/>
          <w:szCs w:val="52"/>
        </w:rPr>
      </w:pPr>
      <w:r>
        <w:rPr>
          <w:rFonts w:hint="eastAsia" w:ascii="仿宋" w:hAnsi="仿宋"/>
          <w:b/>
          <w:color w:val="auto"/>
          <w:sz w:val="52"/>
          <w:szCs w:val="52"/>
        </w:rPr>
        <w:t>内部安装架</w:t>
      </w:r>
    </w:p>
    <w:p>
      <w:pPr>
        <w:rPr>
          <w:rFonts w:ascii="仿宋" w:hAnsi="仿宋"/>
          <w:b/>
          <w:color w:val="auto"/>
          <w:sz w:val="52"/>
          <w:szCs w:val="52"/>
        </w:rPr>
      </w:pPr>
    </w:p>
    <w:p>
      <w:pPr>
        <w:jc w:val="center"/>
        <w:rPr>
          <w:rFonts w:ascii="仿宋" w:hAnsi="仿宋"/>
          <w:b/>
          <w:color w:val="auto"/>
          <w:sz w:val="52"/>
          <w:szCs w:val="52"/>
        </w:rPr>
      </w:pPr>
      <w:r>
        <w:rPr>
          <w:rFonts w:hint="eastAsia" w:ascii="仿宋" w:hAnsi="仿宋"/>
          <w:b/>
          <w:color w:val="auto"/>
          <w:sz w:val="52"/>
          <w:szCs w:val="52"/>
        </w:rPr>
        <w:t>询</w:t>
      </w:r>
    </w:p>
    <w:p>
      <w:pPr>
        <w:jc w:val="center"/>
        <w:rPr>
          <w:rFonts w:ascii="仿宋" w:hAnsi="仿宋"/>
          <w:b/>
          <w:color w:val="auto"/>
          <w:sz w:val="52"/>
          <w:szCs w:val="52"/>
        </w:rPr>
      </w:pPr>
      <w:r>
        <w:rPr>
          <w:rFonts w:hint="eastAsia" w:ascii="仿宋" w:hAnsi="仿宋"/>
          <w:b/>
          <w:color w:val="auto"/>
          <w:sz w:val="52"/>
          <w:szCs w:val="52"/>
        </w:rPr>
        <w:t>比</w:t>
      </w:r>
    </w:p>
    <w:p>
      <w:pPr>
        <w:jc w:val="center"/>
        <w:rPr>
          <w:rFonts w:ascii="仿宋" w:hAnsi="仿宋"/>
          <w:b/>
          <w:color w:val="auto"/>
          <w:sz w:val="52"/>
          <w:szCs w:val="52"/>
        </w:rPr>
      </w:pPr>
      <w:r>
        <w:rPr>
          <w:rFonts w:hint="eastAsia" w:ascii="仿宋" w:hAnsi="仿宋"/>
          <w:b/>
          <w:color w:val="auto"/>
          <w:sz w:val="52"/>
          <w:szCs w:val="52"/>
        </w:rPr>
        <w:t>文</w:t>
      </w:r>
    </w:p>
    <w:p>
      <w:pPr>
        <w:jc w:val="center"/>
        <w:rPr>
          <w:rFonts w:ascii="仿宋" w:hAnsi="仿宋"/>
          <w:b/>
          <w:color w:val="auto"/>
          <w:sz w:val="52"/>
          <w:szCs w:val="52"/>
        </w:rPr>
      </w:pPr>
      <w:r>
        <w:rPr>
          <w:rFonts w:hint="eastAsia" w:ascii="仿宋" w:hAnsi="仿宋"/>
          <w:b/>
          <w:color w:val="auto"/>
          <w:sz w:val="52"/>
          <w:szCs w:val="52"/>
        </w:rPr>
        <w:t>件</w:t>
      </w:r>
    </w:p>
    <w:p>
      <w:pPr>
        <w:jc w:val="center"/>
        <w:rPr>
          <w:rFonts w:ascii="仿宋" w:hAnsi="仿宋"/>
          <w:b/>
          <w:color w:val="auto"/>
          <w:sz w:val="52"/>
          <w:szCs w:val="52"/>
        </w:rPr>
      </w:pPr>
    </w:p>
    <w:p>
      <w:pPr>
        <w:jc w:val="center"/>
        <w:rPr>
          <w:rFonts w:ascii="仿宋" w:hAnsi="仿宋"/>
          <w:b/>
          <w:color w:val="auto"/>
          <w:sz w:val="52"/>
          <w:szCs w:val="52"/>
        </w:rPr>
      </w:pPr>
    </w:p>
    <w:p>
      <w:pPr>
        <w:jc w:val="center"/>
        <w:rPr>
          <w:rFonts w:ascii="仿宋" w:hAnsi="仿宋"/>
          <w:b/>
          <w:color w:val="auto"/>
          <w:sz w:val="52"/>
          <w:szCs w:val="52"/>
        </w:rPr>
      </w:pPr>
    </w:p>
    <w:p>
      <w:pPr>
        <w:jc w:val="center"/>
        <w:rPr>
          <w:rFonts w:ascii="仿宋" w:hAnsi="仿宋"/>
          <w:b/>
          <w:color w:val="auto"/>
          <w:sz w:val="32"/>
          <w:szCs w:val="32"/>
        </w:rPr>
      </w:pPr>
      <w:r>
        <w:rPr>
          <w:rFonts w:hint="eastAsia" w:ascii="仿宋" w:hAnsi="仿宋"/>
          <w:b/>
          <w:color w:val="auto"/>
          <w:sz w:val="32"/>
          <w:szCs w:val="32"/>
        </w:rPr>
        <w:t>采购人：中国工程物理研究院激光聚变研究中心</w:t>
      </w:r>
    </w:p>
    <w:p>
      <w:pPr>
        <w:jc w:val="center"/>
        <w:rPr>
          <w:rFonts w:ascii="仿宋" w:hAnsi="仿宋"/>
          <w:b/>
          <w:color w:val="auto"/>
          <w:sz w:val="32"/>
          <w:szCs w:val="32"/>
        </w:rPr>
      </w:pPr>
      <w:r>
        <w:rPr>
          <w:rFonts w:hint="eastAsia" w:ascii="仿宋" w:hAnsi="仿宋"/>
          <w:b/>
          <w:color w:val="auto"/>
          <w:sz w:val="30"/>
          <w:szCs w:val="30"/>
        </w:rPr>
        <w:t>采购代理机构：新华招标有限公司</w:t>
      </w:r>
    </w:p>
    <w:p>
      <w:pPr>
        <w:jc w:val="center"/>
        <w:rPr>
          <w:rFonts w:ascii="仿宋" w:hAnsi="仿宋"/>
          <w:b/>
          <w:bCs/>
          <w:color w:val="auto"/>
          <w:sz w:val="32"/>
          <w:szCs w:val="32"/>
          <w:lang w:val="zh-CN"/>
        </w:rPr>
        <w:sectPr>
          <w:headerReference r:id="rId7" w:type="first"/>
          <w:footerReference r:id="rId10" w:type="first"/>
          <w:headerReference r:id="rId5" w:type="default"/>
          <w:footerReference r:id="rId8" w:type="default"/>
          <w:headerReference r:id="rId6" w:type="even"/>
          <w:footerReference r:id="rId9" w:type="even"/>
          <w:pgSz w:w="11907" w:h="16840"/>
          <w:pgMar w:top="1418" w:right="1418" w:bottom="1418" w:left="1418" w:header="851" w:footer="992" w:gutter="0"/>
          <w:pgNumType w:start="0"/>
          <w:cols w:space="425" w:num="1"/>
          <w:docGrid w:linePitch="326" w:charSpace="0"/>
        </w:sectPr>
      </w:pPr>
      <w:r>
        <w:rPr>
          <w:rFonts w:ascii="仿宋" w:hAnsi="仿宋"/>
          <w:b/>
          <w:bCs/>
          <w:color w:val="auto"/>
          <w:sz w:val="32"/>
          <w:szCs w:val="32"/>
          <w:lang w:val="zh-CN"/>
        </w:rPr>
        <w:t>2023年</w:t>
      </w:r>
      <w:r>
        <w:rPr>
          <w:rFonts w:hint="eastAsia" w:ascii="仿宋" w:hAnsi="仿宋"/>
          <w:b/>
          <w:bCs/>
          <w:color w:val="auto"/>
          <w:sz w:val="32"/>
          <w:szCs w:val="32"/>
        </w:rPr>
        <w:t>01</w:t>
      </w:r>
      <w:r>
        <w:rPr>
          <w:rFonts w:ascii="仿宋" w:hAnsi="仿宋"/>
          <w:b/>
          <w:bCs/>
          <w:color w:val="auto"/>
          <w:sz w:val="32"/>
          <w:szCs w:val="32"/>
          <w:lang w:val="zh-CN"/>
        </w:rPr>
        <w:t>月</w:t>
      </w:r>
    </w:p>
    <w:p>
      <w:pPr>
        <w:jc w:val="center"/>
        <w:rPr>
          <w:rFonts w:ascii="仿宋" w:hAnsi="仿宋"/>
          <w:b/>
          <w:bCs/>
          <w:color w:val="auto"/>
          <w:sz w:val="32"/>
          <w:szCs w:val="32"/>
          <w:lang w:val="zh-CN"/>
        </w:rPr>
        <w:sectPr>
          <w:pgSz w:w="11907" w:h="16840"/>
          <w:pgMar w:top="1418" w:right="1418" w:bottom="1418" w:left="1418" w:header="851" w:footer="992" w:gutter="0"/>
          <w:pgNumType w:start="1"/>
          <w:cols w:space="425" w:num="1"/>
          <w:titlePg/>
          <w:docGrid w:linePitch="326" w:charSpace="0"/>
        </w:sectPr>
      </w:pPr>
    </w:p>
    <w:p>
      <w:pPr>
        <w:widowControl/>
        <w:ind w:right="84" w:rightChars="35"/>
        <w:jc w:val="center"/>
        <w:rPr>
          <w:rFonts w:ascii="仿宋" w:hAnsi="仿宋"/>
          <w:b/>
          <w:bCs/>
          <w:color w:val="auto"/>
          <w:sz w:val="36"/>
        </w:rPr>
      </w:pPr>
      <w:r>
        <w:rPr>
          <w:rFonts w:hint="eastAsia" w:ascii="仿宋" w:hAnsi="仿宋"/>
          <w:b/>
          <w:color w:val="auto"/>
          <w:sz w:val="36"/>
        </w:rPr>
        <w:t>目    录</w:t>
      </w:r>
    </w:p>
    <w:p>
      <w:pPr>
        <w:pStyle w:val="19"/>
        <w:ind w:right="-120"/>
        <w:rPr>
          <w:rFonts w:ascii="仿宋" w:hAnsi="仿宋" w:eastAsia="仿宋" w:cs="仿宋"/>
          <w:b w:val="0"/>
          <w:bCs w:val="0"/>
          <w:caps w:val="0"/>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TOC \o "1-1" \h \z \u </w:instrText>
      </w:r>
      <w:r>
        <w:rPr>
          <w:rFonts w:hint="eastAsia" w:ascii="仿宋" w:hAnsi="仿宋" w:eastAsia="仿宋" w:cs="仿宋"/>
          <w:bCs w:val="0"/>
          <w:color w:val="auto"/>
          <w:sz w:val="24"/>
          <w:szCs w:val="24"/>
        </w:rPr>
        <w:fldChar w:fldCharType="separate"/>
      </w:r>
      <w:r>
        <w:rPr>
          <w:color w:val="auto"/>
        </w:rPr>
        <w:fldChar w:fldCharType="begin"/>
      </w:r>
      <w:r>
        <w:rPr>
          <w:color w:val="auto"/>
        </w:rPr>
        <w:instrText xml:space="preserve"> HYPERLINK \l "_Toc37838082" </w:instrText>
      </w:r>
      <w:r>
        <w:rPr>
          <w:color w:val="auto"/>
        </w:rPr>
        <w:fldChar w:fldCharType="separate"/>
      </w:r>
      <w:r>
        <w:rPr>
          <w:rStyle w:val="32"/>
          <w:rFonts w:hint="eastAsia" w:ascii="仿宋" w:hAnsi="仿宋" w:eastAsia="仿宋" w:cs="仿宋"/>
          <w:color w:val="auto"/>
          <w:sz w:val="24"/>
          <w:szCs w:val="24"/>
        </w:rPr>
        <w:t>第一章  询比邀请</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_Toc37838082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2</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pPr>
        <w:pStyle w:val="19"/>
        <w:ind w:right="-120"/>
        <w:rPr>
          <w:rFonts w:ascii="仿宋" w:hAnsi="仿宋" w:eastAsia="仿宋" w:cs="仿宋"/>
          <w:b w:val="0"/>
          <w:bCs w:val="0"/>
          <w:caps w:val="0"/>
          <w:color w:val="auto"/>
          <w:sz w:val="24"/>
          <w:szCs w:val="24"/>
        </w:rPr>
      </w:pPr>
      <w:r>
        <w:rPr>
          <w:color w:val="auto"/>
        </w:rPr>
        <w:fldChar w:fldCharType="begin"/>
      </w:r>
      <w:r>
        <w:rPr>
          <w:color w:val="auto"/>
        </w:rPr>
        <w:instrText xml:space="preserve"> HYPERLINK \l "_Toc37838083" </w:instrText>
      </w:r>
      <w:r>
        <w:rPr>
          <w:color w:val="auto"/>
        </w:rPr>
        <w:fldChar w:fldCharType="separate"/>
      </w:r>
      <w:r>
        <w:rPr>
          <w:rStyle w:val="32"/>
          <w:rFonts w:hint="eastAsia" w:ascii="仿宋" w:hAnsi="仿宋" w:eastAsia="仿宋" w:cs="仿宋"/>
          <w:color w:val="auto"/>
          <w:sz w:val="24"/>
          <w:szCs w:val="24"/>
        </w:rPr>
        <w:t>第二章  询比须知</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_Toc37838083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6</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pPr>
        <w:pStyle w:val="19"/>
        <w:ind w:right="-120"/>
        <w:rPr>
          <w:rFonts w:ascii="仿宋" w:hAnsi="仿宋" w:eastAsia="仿宋" w:cs="仿宋"/>
          <w:b w:val="0"/>
          <w:bCs w:val="0"/>
          <w:caps w:val="0"/>
          <w:color w:val="auto"/>
          <w:sz w:val="24"/>
          <w:szCs w:val="24"/>
        </w:rPr>
      </w:pPr>
      <w:r>
        <w:rPr>
          <w:color w:val="auto"/>
        </w:rPr>
        <w:fldChar w:fldCharType="begin"/>
      </w:r>
      <w:r>
        <w:rPr>
          <w:color w:val="auto"/>
        </w:rPr>
        <w:instrText xml:space="preserve"> HYPERLINK \l "_Toc37838084" </w:instrText>
      </w:r>
      <w:r>
        <w:rPr>
          <w:color w:val="auto"/>
        </w:rPr>
        <w:fldChar w:fldCharType="separate"/>
      </w:r>
      <w:r>
        <w:rPr>
          <w:rStyle w:val="32"/>
          <w:rFonts w:hint="eastAsia" w:ascii="仿宋" w:hAnsi="仿宋" w:eastAsia="仿宋" w:cs="仿宋"/>
          <w:color w:val="auto"/>
          <w:sz w:val="24"/>
          <w:szCs w:val="24"/>
        </w:rPr>
        <w:t>第三章  供应商和报价产品的资格、资质性及其他类似效力要求和应当提供的相关证明材料</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_Toc37838084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23</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pPr>
        <w:pStyle w:val="19"/>
        <w:ind w:right="-120"/>
        <w:rPr>
          <w:rFonts w:ascii="仿宋" w:hAnsi="仿宋" w:eastAsia="仿宋" w:cs="仿宋"/>
          <w:b w:val="0"/>
          <w:bCs w:val="0"/>
          <w:caps w:val="0"/>
          <w:color w:val="auto"/>
          <w:sz w:val="24"/>
          <w:szCs w:val="24"/>
        </w:rPr>
      </w:pPr>
      <w:r>
        <w:rPr>
          <w:color w:val="auto"/>
        </w:rPr>
        <w:fldChar w:fldCharType="begin"/>
      </w:r>
      <w:r>
        <w:rPr>
          <w:color w:val="auto"/>
        </w:rPr>
        <w:instrText xml:space="preserve"> HYPERLINK \l "_Toc37838085" </w:instrText>
      </w:r>
      <w:r>
        <w:rPr>
          <w:color w:val="auto"/>
        </w:rPr>
        <w:fldChar w:fldCharType="separate"/>
      </w:r>
      <w:r>
        <w:rPr>
          <w:rStyle w:val="32"/>
          <w:rFonts w:hint="eastAsia" w:ascii="仿宋" w:hAnsi="仿宋" w:eastAsia="仿宋" w:cs="仿宋"/>
          <w:color w:val="auto"/>
          <w:sz w:val="24"/>
          <w:szCs w:val="24"/>
        </w:rPr>
        <w:t>第四章  采购项目技术、服务及其他商务要求</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_Toc37838085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25</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pPr>
        <w:pStyle w:val="19"/>
        <w:ind w:right="-120"/>
        <w:rPr>
          <w:rFonts w:ascii="仿宋" w:hAnsi="仿宋" w:eastAsia="仿宋" w:cs="仿宋"/>
          <w:b w:val="0"/>
          <w:bCs w:val="0"/>
          <w:caps w:val="0"/>
          <w:color w:val="auto"/>
          <w:sz w:val="24"/>
          <w:szCs w:val="24"/>
        </w:rPr>
      </w:pPr>
      <w:r>
        <w:rPr>
          <w:color w:val="auto"/>
        </w:rPr>
        <w:fldChar w:fldCharType="begin"/>
      </w:r>
      <w:r>
        <w:rPr>
          <w:color w:val="auto"/>
        </w:rPr>
        <w:instrText xml:space="preserve"> HYPERLINK \l "_Toc37838086" </w:instrText>
      </w:r>
      <w:r>
        <w:rPr>
          <w:color w:val="auto"/>
        </w:rPr>
        <w:fldChar w:fldCharType="separate"/>
      </w:r>
      <w:r>
        <w:rPr>
          <w:rStyle w:val="32"/>
          <w:rFonts w:hint="eastAsia" w:ascii="仿宋" w:hAnsi="仿宋" w:eastAsia="仿宋" w:cs="仿宋"/>
          <w:color w:val="auto"/>
          <w:sz w:val="24"/>
          <w:szCs w:val="24"/>
        </w:rPr>
        <w:t>第五章  响应文件格式</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_Toc37838086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30</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pPr>
        <w:pStyle w:val="19"/>
        <w:ind w:right="-120"/>
        <w:rPr>
          <w:rFonts w:ascii="仿宋" w:hAnsi="仿宋" w:eastAsia="仿宋" w:cs="仿宋"/>
          <w:b w:val="0"/>
          <w:bCs w:val="0"/>
          <w:caps w:val="0"/>
          <w:color w:val="auto"/>
          <w:sz w:val="24"/>
          <w:szCs w:val="24"/>
        </w:rPr>
      </w:pPr>
      <w:r>
        <w:rPr>
          <w:color w:val="auto"/>
        </w:rPr>
        <w:fldChar w:fldCharType="begin"/>
      </w:r>
      <w:r>
        <w:rPr>
          <w:color w:val="auto"/>
        </w:rPr>
        <w:instrText xml:space="preserve"> HYPERLINK \l "_Toc37838087" </w:instrText>
      </w:r>
      <w:r>
        <w:rPr>
          <w:color w:val="auto"/>
        </w:rPr>
        <w:fldChar w:fldCharType="separate"/>
      </w:r>
      <w:r>
        <w:rPr>
          <w:rStyle w:val="32"/>
          <w:rFonts w:hint="eastAsia" w:ascii="仿宋" w:hAnsi="仿宋" w:eastAsia="仿宋" w:cs="仿宋"/>
          <w:color w:val="auto"/>
          <w:sz w:val="24"/>
          <w:szCs w:val="24"/>
        </w:rPr>
        <w:t>第六章  评审方法</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_Toc37838087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49</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pPr>
        <w:pStyle w:val="19"/>
        <w:ind w:right="-120"/>
        <w:rPr>
          <w:rFonts w:ascii="仿宋" w:hAnsi="仿宋" w:eastAsia="仿宋" w:cs="仿宋"/>
          <w:b w:val="0"/>
          <w:bCs w:val="0"/>
          <w:caps w:val="0"/>
          <w:color w:val="auto"/>
          <w:sz w:val="24"/>
          <w:szCs w:val="24"/>
        </w:rPr>
      </w:pPr>
      <w:r>
        <w:rPr>
          <w:color w:val="auto"/>
        </w:rPr>
        <w:fldChar w:fldCharType="begin"/>
      </w:r>
      <w:r>
        <w:rPr>
          <w:color w:val="auto"/>
        </w:rPr>
        <w:instrText xml:space="preserve"> HYPERLINK \l "_Toc37838088" </w:instrText>
      </w:r>
      <w:r>
        <w:rPr>
          <w:color w:val="auto"/>
        </w:rPr>
        <w:fldChar w:fldCharType="separate"/>
      </w:r>
      <w:r>
        <w:rPr>
          <w:rStyle w:val="32"/>
          <w:rFonts w:hint="eastAsia" w:ascii="仿宋" w:hAnsi="仿宋" w:eastAsia="仿宋" w:cs="仿宋"/>
          <w:color w:val="auto"/>
          <w:sz w:val="24"/>
          <w:szCs w:val="24"/>
        </w:rPr>
        <w:t>第七章  采购合同</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_Toc37838088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57</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pPr>
        <w:pStyle w:val="3"/>
        <w:keepNext w:val="0"/>
        <w:keepLines w:val="0"/>
        <w:spacing w:line="360" w:lineRule="auto"/>
        <w:ind w:right="84" w:rightChars="35"/>
        <w:jc w:val="center"/>
        <w:rPr>
          <w:rFonts w:ascii="仿宋" w:hAnsi="仿宋" w:eastAsia="仿宋"/>
          <w:bCs w:val="0"/>
          <w:color w:val="auto"/>
          <w:sz w:val="24"/>
        </w:rPr>
        <w:sectPr>
          <w:footerReference r:id="rId15" w:type="first"/>
          <w:headerReference r:id="rId11" w:type="default"/>
          <w:footerReference r:id="rId13" w:type="default"/>
          <w:headerReference r:id="rId12" w:type="even"/>
          <w:footerReference r:id="rId14" w:type="even"/>
          <w:type w:val="continuous"/>
          <w:pgSz w:w="11907" w:h="16840"/>
          <w:pgMar w:top="1418" w:right="1418" w:bottom="1418" w:left="1418" w:header="851" w:footer="992" w:gutter="0"/>
          <w:pgNumType w:start="1"/>
          <w:cols w:space="425" w:num="1"/>
          <w:docGrid w:linePitch="326" w:charSpace="0"/>
        </w:sectPr>
      </w:pPr>
      <w:r>
        <w:rPr>
          <w:rFonts w:hint="eastAsia" w:ascii="仿宋" w:hAnsi="仿宋" w:eastAsia="仿宋" w:cs="仿宋"/>
          <w:bCs w:val="0"/>
          <w:color w:val="auto"/>
          <w:sz w:val="24"/>
          <w:szCs w:val="24"/>
        </w:rPr>
        <w:fldChar w:fldCharType="end"/>
      </w:r>
    </w:p>
    <w:p>
      <w:pPr>
        <w:pStyle w:val="24"/>
        <w:rPr>
          <w:rFonts w:ascii="仿宋" w:hAnsi="仿宋"/>
          <w:color w:val="auto"/>
        </w:rPr>
      </w:pPr>
      <w:bookmarkStart w:id="0" w:name="_Toc37838082"/>
      <w:bookmarkStart w:id="1" w:name="OLE_LINK10"/>
      <w:r>
        <w:rPr>
          <w:rFonts w:hint="eastAsia" w:ascii="仿宋" w:hAnsi="仿宋"/>
          <w:color w:val="auto"/>
        </w:rPr>
        <w:t>第一章  询比邀请</w:t>
      </w:r>
      <w:bookmarkEnd w:id="0"/>
    </w:p>
    <w:p>
      <w:pPr>
        <w:ind w:firstLine="480" w:firstLineChars="200"/>
        <w:jc w:val="left"/>
        <w:rPr>
          <w:rFonts w:ascii="仿宋" w:hAnsi="仿宋"/>
          <w:color w:val="auto"/>
        </w:rPr>
      </w:pPr>
      <w:bookmarkStart w:id="2" w:name="OLE_LINK9"/>
      <w:r>
        <w:rPr>
          <w:rFonts w:hint="eastAsia" w:ascii="仿宋" w:hAnsi="仿宋"/>
          <w:color w:val="auto"/>
          <w:u w:val="single"/>
        </w:rPr>
        <w:t>新华招标有限公司</w:t>
      </w:r>
      <w:r>
        <w:rPr>
          <w:rFonts w:hint="eastAsia" w:ascii="仿宋" w:hAnsi="仿宋"/>
          <w:color w:val="auto"/>
        </w:rPr>
        <w:t>受</w:t>
      </w:r>
      <w:r>
        <w:rPr>
          <w:rFonts w:hint="eastAsia" w:ascii="仿宋" w:hAnsi="仿宋"/>
          <w:color w:val="auto"/>
          <w:u w:val="single"/>
        </w:rPr>
        <w:t>中国工程物理研究院激光聚变研究中心</w:t>
      </w:r>
      <w:r>
        <w:rPr>
          <w:rFonts w:hint="eastAsia" w:ascii="仿宋" w:hAnsi="仿宋"/>
          <w:color w:val="auto"/>
        </w:rPr>
        <w:t>委托，拟对</w:t>
      </w:r>
      <w:bookmarkStart w:id="3" w:name="PO_默认文件内容_1"/>
      <w:r>
        <w:rPr>
          <w:rFonts w:hint="eastAsia" w:ascii="仿宋" w:hAnsi="仿宋"/>
          <w:color w:val="auto"/>
          <w:u w:val="single"/>
        </w:rPr>
        <w:t>内部安装架</w:t>
      </w:r>
      <w:r>
        <w:rPr>
          <w:rFonts w:hint="eastAsia" w:ascii="仿宋" w:hAnsi="仿宋"/>
          <w:color w:val="auto"/>
        </w:rPr>
        <w:t>采用询比方式进行采购，特邀请符合本次采购要求的供应商参加本项目的询比活动。</w:t>
      </w:r>
      <w:bookmarkEnd w:id="3"/>
    </w:p>
    <w:p>
      <w:pPr>
        <w:ind w:firstLine="480" w:firstLineChars="200"/>
        <w:rPr>
          <w:rFonts w:ascii="仿宋" w:hAnsi="仿宋"/>
          <w:color w:val="auto"/>
        </w:rPr>
      </w:pPr>
      <w:r>
        <w:rPr>
          <w:rFonts w:hint="eastAsia" w:ascii="仿宋" w:hAnsi="仿宋"/>
          <w:color w:val="auto"/>
        </w:rPr>
        <w:t>一、采购项目基本情况</w:t>
      </w:r>
    </w:p>
    <w:p>
      <w:pPr>
        <w:ind w:firstLine="480" w:firstLineChars="200"/>
        <w:rPr>
          <w:rFonts w:ascii="仿宋" w:hAnsi="仿宋"/>
          <w:color w:val="auto"/>
        </w:rPr>
      </w:pPr>
      <w:r>
        <w:rPr>
          <w:rFonts w:hint="eastAsia" w:ascii="仿宋" w:hAnsi="仿宋"/>
          <w:color w:val="auto"/>
        </w:rPr>
        <w:t>1.采购编号：KY20220412B027</w:t>
      </w:r>
    </w:p>
    <w:p>
      <w:pPr>
        <w:ind w:firstLine="480" w:firstLineChars="200"/>
        <w:rPr>
          <w:rFonts w:ascii="仿宋" w:hAnsi="仿宋"/>
          <w:color w:val="auto"/>
        </w:rPr>
      </w:pPr>
      <w:r>
        <w:rPr>
          <w:rFonts w:hint="eastAsia" w:ascii="仿宋" w:hAnsi="仿宋"/>
          <w:color w:val="auto"/>
        </w:rPr>
        <w:t>2.采购项目名称：内部安装架</w:t>
      </w:r>
    </w:p>
    <w:p>
      <w:pPr>
        <w:ind w:firstLine="480" w:firstLineChars="200"/>
        <w:rPr>
          <w:rFonts w:ascii="仿宋" w:hAnsi="仿宋"/>
          <w:color w:val="auto"/>
        </w:rPr>
      </w:pPr>
      <w:r>
        <w:rPr>
          <w:rFonts w:hint="eastAsia" w:ascii="仿宋" w:hAnsi="仿宋"/>
          <w:color w:val="auto"/>
        </w:rPr>
        <w:t>二、资金情况</w:t>
      </w:r>
    </w:p>
    <w:p>
      <w:pPr>
        <w:spacing w:after="120"/>
        <w:ind w:right="36" w:rightChars="15" w:firstLine="480" w:firstLineChars="200"/>
        <w:rPr>
          <w:rFonts w:ascii="仿宋" w:hAnsi="仿宋"/>
          <w:b/>
          <w:bCs/>
          <w:color w:val="auto"/>
        </w:rPr>
      </w:pPr>
      <w:r>
        <w:rPr>
          <w:rFonts w:hint="eastAsia" w:ascii="仿宋" w:hAnsi="仿宋"/>
          <w:color w:val="auto"/>
        </w:rPr>
        <w:t>资金来源：财政性资金</w:t>
      </w:r>
    </w:p>
    <w:p>
      <w:pPr>
        <w:spacing w:after="120"/>
        <w:ind w:firstLine="482" w:firstLineChars="200"/>
        <w:rPr>
          <w:rFonts w:ascii="仿宋" w:hAnsi="仿宋"/>
          <w:color w:val="auto"/>
        </w:rPr>
      </w:pPr>
      <w:r>
        <w:rPr>
          <w:rFonts w:hint="eastAsia" w:ascii="仿宋" w:hAnsi="仿宋"/>
          <w:b/>
          <w:color w:val="auto"/>
        </w:rPr>
        <w:t>三</w:t>
      </w:r>
      <w:r>
        <w:rPr>
          <w:rFonts w:hint="eastAsia" w:ascii="仿宋" w:hAnsi="仿宋"/>
          <w:b/>
          <w:bCs/>
          <w:color w:val="auto"/>
        </w:rPr>
        <w:t>、</w:t>
      </w:r>
      <w:r>
        <w:rPr>
          <w:rFonts w:hint="eastAsia" w:ascii="仿宋" w:hAnsi="仿宋"/>
          <w:b/>
          <w:color w:val="auto"/>
        </w:rPr>
        <w:t>采购项目简介：</w:t>
      </w:r>
    </w:p>
    <w:p>
      <w:pPr>
        <w:spacing w:after="120"/>
        <w:ind w:firstLine="464" w:firstLineChars="200"/>
        <w:rPr>
          <w:rFonts w:ascii="仿宋" w:hAnsi="仿宋"/>
          <w:color w:val="auto"/>
        </w:rPr>
      </w:pPr>
      <w:bookmarkStart w:id="4" w:name="PO_默认文件内容_2"/>
      <w:r>
        <w:rPr>
          <w:rFonts w:hint="eastAsia" w:ascii="仿宋" w:hAnsi="仿宋"/>
          <w:color w:val="auto"/>
          <w:spacing w:val="-4"/>
        </w:rPr>
        <w:t>1.</w:t>
      </w:r>
      <w:r>
        <w:rPr>
          <w:rFonts w:hint="eastAsia" w:ascii="仿宋" w:hAnsi="仿宋"/>
          <w:color w:val="auto"/>
        </w:rPr>
        <w:t>本项目拟采购两种规格的内部安装架各一套（具体要求详见询比文件第四章）。</w:t>
      </w:r>
      <w:bookmarkEnd w:id="4"/>
    </w:p>
    <w:p>
      <w:pPr>
        <w:spacing w:after="120"/>
        <w:ind w:left="426"/>
        <w:rPr>
          <w:rFonts w:ascii="仿宋" w:hAnsi="仿宋"/>
          <w:color w:val="auto"/>
          <w:spacing w:val="-4"/>
        </w:rPr>
      </w:pPr>
      <w:r>
        <w:rPr>
          <w:rFonts w:hint="eastAsia" w:ascii="仿宋" w:hAnsi="仿宋"/>
          <w:color w:val="auto"/>
        </w:rPr>
        <w:t>2.本项目采购预算52万元。最高限价为52万元</w:t>
      </w:r>
      <w:r>
        <w:rPr>
          <w:rFonts w:hint="eastAsia" w:ascii="仿宋" w:hAnsi="仿宋"/>
          <w:color w:val="auto"/>
          <w:spacing w:val="-4"/>
        </w:rPr>
        <w:t>。</w:t>
      </w:r>
    </w:p>
    <w:p>
      <w:pPr>
        <w:spacing w:after="120"/>
        <w:ind w:firstLine="464" w:firstLineChars="200"/>
        <w:rPr>
          <w:rFonts w:ascii="仿宋" w:hAnsi="仿宋"/>
          <w:color w:val="auto"/>
          <w:spacing w:val="-4"/>
        </w:rPr>
      </w:pPr>
      <w:r>
        <w:rPr>
          <w:rFonts w:hint="eastAsia" w:ascii="仿宋" w:hAnsi="仿宋"/>
          <w:color w:val="auto"/>
          <w:spacing w:val="-4"/>
        </w:rPr>
        <w:t>3.交付期：</w:t>
      </w:r>
      <w:r>
        <w:rPr>
          <w:rFonts w:hint="eastAsia"/>
          <w:color w:val="auto"/>
        </w:rPr>
        <w:t>合同签订生效后1.5个月内交付。</w:t>
      </w:r>
    </w:p>
    <w:p>
      <w:pPr>
        <w:spacing w:after="120"/>
        <w:ind w:firstLine="464" w:firstLineChars="200"/>
        <w:rPr>
          <w:rFonts w:ascii="仿宋" w:hAnsi="仿宋"/>
          <w:color w:val="auto"/>
          <w:spacing w:val="-4"/>
        </w:rPr>
      </w:pPr>
      <w:r>
        <w:rPr>
          <w:rFonts w:hint="eastAsia" w:ascii="仿宋" w:hAnsi="仿宋"/>
          <w:color w:val="auto"/>
          <w:spacing w:val="-4"/>
        </w:rPr>
        <w:t>4.交付地点：成都市银河5</w:t>
      </w:r>
      <w:r>
        <w:rPr>
          <w:rFonts w:ascii="仿宋" w:hAnsi="仿宋"/>
          <w:color w:val="auto"/>
          <w:spacing w:val="-4"/>
        </w:rPr>
        <w:t>96</w:t>
      </w:r>
      <w:r>
        <w:rPr>
          <w:rFonts w:hint="eastAsia" w:ascii="仿宋" w:hAnsi="仿宋"/>
          <w:color w:val="auto"/>
          <w:spacing w:val="-4"/>
        </w:rPr>
        <w:t>。</w:t>
      </w:r>
    </w:p>
    <w:p>
      <w:pPr>
        <w:spacing w:after="120"/>
        <w:ind w:firstLine="482" w:firstLineChars="200"/>
        <w:rPr>
          <w:rFonts w:ascii="仿宋" w:hAnsi="仿宋"/>
          <w:b/>
          <w:bCs/>
          <w:color w:val="auto"/>
        </w:rPr>
      </w:pPr>
      <w:r>
        <w:rPr>
          <w:rFonts w:hint="eastAsia" w:ascii="仿宋" w:hAnsi="仿宋"/>
          <w:b/>
          <w:bCs/>
          <w:color w:val="auto"/>
        </w:rPr>
        <w:t>四、供应商邀请方式</w:t>
      </w:r>
    </w:p>
    <w:p>
      <w:pPr>
        <w:spacing w:after="120"/>
        <w:ind w:firstLine="480" w:firstLineChars="200"/>
        <w:rPr>
          <w:rFonts w:ascii="仿宋" w:hAnsi="仿宋"/>
          <w:bCs/>
          <w:color w:val="auto"/>
        </w:rPr>
      </w:pPr>
      <w:r>
        <w:rPr>
          <w:rFonts w:hint="eastAsia" w:ascii="Segoe UI Emoji" w:hAnsi="Segoe UI Emoji" w:cs="Segoe UI Emoji"/>
          <w:color w:val="auto"/>
        </w:rPr>
        <w:sym w:font="Wingdings 2" w:char="0052"/>
      </w:r>
      <w:r>
        <w:rPr>
          <w:rFonts w:ascii="仿宋" w:hAnsi="仿宋"/>
          <w:bCs/>
          <w:color w:val="auto"/>
        </w:rPr>
        <w:t>本项目采用公告</w:t>
      </w:r>
      <w:r>
        <w:rPr>
          <w:rFonts w:hint="eastAsia" w:ascii="仿宋" w:hAnsi="仿宋"/>
          <w:bCs/>
          <w:color w:val="auto"/>
        </w:rPr>
        <w:t>邀请方式，在中国工程物理研究院招投标信息网（http://ztbxx.caep.ac.cn/）上以公告形式发布，公告期限为3</w:t>
      </w:r>
      <w:r>
        <w:rPr>
          <w:rFonts w:ascii="仿宋" w:hAnsi="仿宋"/>
          <w:bCs/>
          <w:color w:val="auto"/>
        </w:rPr>
        <w:t>个工作日。</w:t>
      </w:r>
    </w:p>
    <w:p>
      <w:pPr>
        <w:spacing w:after="120"/>
        <w:ind w:firstLine="480" w:firstLineChars="200"/>
        <w:rPr>
          <w:rFonts w:ascii="仿宋" w:hAnsi="仿宋"/>
          <w:bCs/>
          <w:color w:val="auto"/>
        </w:rPr>
      </w:pPr>
      <w:r>
        <w:rPr>
          <w:rFonts w:hint="eastAsia" w:ascii="仿宋" w:hAnsi="仿宋"/>
          <w:bCs/>
          <w:color w:val="auto"/>
        </w:rPr>
        <w:t>□本项目采用单位推荐方式。</w:t>
      </w:r>
    </w:p>
    <w:p>
      <w:pPr>
        <w:spacing w:after="120"/>
        <w:ind w:firstLine="482" w:firstLineChars="200"/>
        <w:rPr>
          <w:rFonts w:ascii="仿宋" w:hAnsi="仿宋"/>
          <w:bCs/>
          <w:color w:val="auto"/>
        </w:rPr>
      </w:pPr>
      <w:r>
        <w:rPr>
          <w:rFonts w:hint="eastAsia" w:ascii="仿宋" w:hAnsi="仿宋"/>
          <w:b/>
          <w:bCs/>
          <w:color w:val="auto"/>
        </w:rPr>
        <w:t>五、评审办法</w:t>
      </w:r>
    </w:p>
    <w:p>
      <w:pPr>
        <w:spacing w:after="120"/>
        <w:ind w:firstLine="480" w:firstLineChars="200"/>
        <w:rPr>
          <w:rFonts w:ascii="仿宋" w:hAnsi="仿宋"/>
          <w:bCs/>
          <w:color w:val="auto"/>
        </w:rPr>
      </w:pPr>
      <w:r>
        <w:rPr>
          <w:rFonts w:hint="eastAsia" w:ascii="仿宋" w:hAnsi="仿宋"/>
          <w:bCs/>
          <w:color w:val="auto"/>
        </w:rPr>
        <w:t>□</w:t>
      </w:r>
      <w:r>
        <w:rPr>
          <w:rFonts w:ascii="仿宋" w:hAnsi="仿宋"/>
          <w:color w:val="auto"/>
          <w:lang w:val="zh-CN"/>
        </w:rPr>
        <w:t>最低价法</w:t>
      </w:r>
      <w:r>
        <w:rPr>
          <w:rFonts w:hint="eastAsia" w:ascii="仿宋" w:hAnsi="仿宋"/>
          <w:color w:val="auto"/>
          <w:lang w:val="zh-CN"/>
        </w:rPr>
        <w:t xml:space="preserve">       </w:t>
      </w:r>
      <w:r>
        <w:rPr>
          <w:rFonts w:hint="eastAsia" w:ascii="Segoe UI Emoji" w:hAnsi="Segoe UI Emoji" w:cs="Segoe UI Emoji"/>
          <w:color w:val="auto"/>
        </w:rPr>
        <w:sym w:font="Wingdings 2" w:char="0052"/>
      </w:r>
      <w:r>
        <w:rPr>
          <w:rFonts w:ascii="仿宋" w:hAnsi="仿宋"/>
          <w:color w:val="auto"/>
          <w:lang w:val="zh-CN"/>
        </w:rPr>
        <w:t>综合评分法</w:t>
      </w:r>
    </w:p>
    <w:p>
      <w:pPr>
        <w:spacing w:after="120"/>
        <w:ind w:firstLine="482" w:firstLineChars="200"/>
        <w:rPr>
          <w:rFonts w:ascii="仿宋" w:hAnsi="仿宋"/>
          <w:b/>
          <w:bCs/>
          <w:color w:val="auto"/>
        </w:rPr>
      </w:pPr>
      <w:r>
        <w:rPr>
          <w:rFonts w:hint="eastAsia" w:ascii="仿宋" w:hAnsi="仿宋"/>
          <w:b/>
          <w:bCs/>
          <w:color w:val="auto"/>
        </w:rPr>
        <w:t>六、供应商参加本次采购活动应具备下列条件：</w:t>
      </w:r>
    </w:p>
    <w:p>
      <w:pPr>
        <w:pStyle w:val="44"/>
        <w:ind w:firstLine="600" w:firstLineChars="250"/>
        <w:rPr>
          <w:rFonts w:ascii="仿宋" w:hAnsi="仿宋"/>
          <w:color w:val="auto"/>
        </w:rPr>
      </w:pPr>
      <w:bookmarkStart w:id="5" w:name="PO_供应商资格条件_1"/>
      <w:r>
        <w:rPr>
          <w:rFonts w:hint="eastAsia" w:ascii="仿宋" w:hAnsi="仿宋"/>
          <w:color w:val="auto"/>
        </w:rPr>
        <w:t>1.具有独立承担民事责任的能力；</w:t>
      </w:r>
    </w:p>
    <w:p>
      <w:pPr>
        <w:tabs>
          <w:tab w:val="left" w:pos="7665"/>
        </w:tabs>
        <w:ind w:firstLine="600" w:firstLineChars="250"/>
        <w:rPr>
          <w:rFonts w:ascii="仿宋" w:hAnsi="仿宋"/>
          <w:color w:val="auto"/>
        </w:rPr>
      </w:pPr>
      <w:r>
        <w:rPr>
          <w:rFonts w:hint="eastAsia" w:ascii="仿宋" w:hAnsi="仿宋"/>
          <w:color w:val="auto"/>
        </w:rPr>
        <w:t>2.具有良好的商业信誉和健全的财务会计制度；</w:t>
      </w:r>
    </w:p>
    <w:p>
      <w:pPr>
        <w:tabs>
          <w:tab w:val="left" w:pos="7665"/>
        </w:tabs>
        <w:ind w:firstLine="600" w:firstLineChars="250"/>
        <w:rPr>
          <w:rFonts w:ascii="仿宋" w:hAnsi="仿宋"/>
          <w:color w:val="auto"/>
        </w:rPr>
      </w:pPr>
      <w:r>
        <w:rPr>
          <w:rFonts w:hint="eastAsia" w:ascii="仿宋" w:hAnsi="仿宋"/>
          <w:color w:val="auto"/>
        </w:rPr>
        <w:t>3.具有履行合同所必须的设备和专业技术能力；</w:t>
      </w:r>
    </w:p>
    <w:p>
      <w:pPr>
        <w:tabs>
          <w:tab w:val="left" w:pos="7665"/>
        </w:tabs>
        <w:ind w:firstLine="600" w:firstLineChars="250"/>
        <w:rPr>
          <w:rFonts w:ascii="仿宋" w:hAnsi="仿宋"/>
          <w:color w:val="auto"/>
        </w:rPr>
      </w:pPr>
      <w:r>
        <w:rPr>
          <w:rFonts w:hint="eastAsia" w:ascii="仿宋" w:hAnsi="仿宋"/>
          <w:color w:val="auto"/>
        </w:rPr>
        <w:t>4.具有依法缴纳税收和社会保障资金的良好记录；</w:t>
      </w:r>
    </w:p>
    <w:p>
      <w:pPr>
        <w:tabs>
          <w:tab w:val="left" w:pos="7665"/>
        </w:tabs>
        <w:ind w:firstLine="600" w:firstLineChars="250"/>
        <w:rPr>
          <w:rFonts w:ascii="仿宋" w:hAnsi="仿宋"/>
          <w:color w:val="auto"/>
        </w:rPr>
      </w:pPr>
      <w:r>
        <w:rPr>
          <w:rFonts w:hint="eastAsia" w:ascii="仿宋" w:hAnsi="仿宋"/>
          <w:color w:val="auto"/>
        </w:rPr>
        <w:t>5.参加采购活动前三年内，在经营活动中没有重大违法记录；</w:t>
      </w:r>
    </w:p>
    <w:p>
      <w:pPr>
        <w:pStyle w:val="44"/>
        <w:ind w:firstLine="600" w:firstLineChars="250"/>
        <w:rPr>
          <w:rFonts w:ascii="仿宋" w:hAnsi="仿宋"/>
          <w:color w:val="auto"/>
        </w:rPr>
      </w:pPr>
      <w:r>
        <w:rPr>
          <w:rFonts w:hint="eastAsia" w:ascii="仿宋" w:hAnsi="仿宋"/>
          <w:color w:val="auto"/>
        </w:rPr>
        <w:t>6.法律、行政法规规定的其他条件；</w:t>
      </w:r>
    </w:p>
    <w:bookmarkEnd w:id="5"/>
    <w:p>
      <w:pPr>
        <w:pStyle w:val="44"/>
        <w:ind w:firstLine="600" w:firstLineChars="250"/>
        <w:rPr>
          <w:rFonts w:ascii="仿宋" w:hAnsi="仿宋"/>
          <w:color w:val="auto"/>
        </w:rPr>
      </w:pPr>
      <w:r>
        <w:rPr>
          <w:rFonts w:hint="eastAsia" w:ascii="仿宋" w:hAnsi="仿宋"/>
          <w:color w:val="auto"/>
        </w:rPr>
        <w:t>7.供应商单位及其现任法定代表人、主要负责人不得具有行贿犯罪记录；</w:t>
      </w:r>
    </w:p>
    <w:p>
      <w:pPr>
        <w:pStyle w:val="44"/>
        <w:ind w:firstLine="600" w:firstLineChars="250"/>
        <w:rPr>
          <w:rFonts w:ascii="仿宋" w:hAnsi="仿宋"/>
          <w:color w:val="auto"/>
        </w:rPr>
      </w:pPr>
      <w:r>
        <w:rPr>
          <w:rFonts w:hint="eastAsia" w:ascii="仿宋" w:hAnsi="仿宋"/>
          <w:color w:val="auto"/>
        </w:rPr>
        <w:t>8.</w:t>
      </w:r>
      <w:bookmarkStart w:id="6" w:name="_Hlk88220148"/>
      <w:r>
        <w:rPr>
          <w:rFonts w:hint="eastAsia" w:ascii="仿宋" w:hAnsi="仿宋"/>
          <w:color w:val="auto"/>
        </w:rPr>
        <w:t xml:space="preserve"> 截至本项目响应文件递交截止时间，通过“信用中国”网站(www.creditchina.gov.cn)、中国政府采购网(www.ccgp.gov.cn)查询供应商信用记录，对列入失信被执行人、税收违法黑名单、政府采购严重违法失信行为记录名单的供应商，拒绝其参与采购活动</w:t>
      </w:r>
      <w:bookmarkEnd w:id="6"/>
      <w:r>
        <w:rPr>
          <w:rFonts w:hint="eastAsia" w:ascii="仿宋" w:hAnsi="仿宋"/>
          <w:color w:val="auto"/>
        </w:rPr>
        <w:t>；</w:t>
      </w:r>
    </w:p>
    <w:p>
      <w:pPr>
        <w:pStyle w:val="44"/>
        <w:ind w:firstLine="600" w:firstLineChars="250"/>
        <w:rPr>
          <w:rFonts w:ascii="仿宋" w:hAnsi="仿宋"/>
          <w:color w:val="auto"/>
        </w:rPr>
      </w:pPr>
      <w:r>
        <w:rPr>
          <w:rFonts w:hint="eastAsia" w:ascii="仿宋" w:hAnsi="仿宋"/>
          <w:color w:val="auto"/>
        </w:rPr>
        <w:t>9.被列入中国工程物理研究院不良记录行为供应商名单（被禁止参加采购活动）的供应商及其法定代表人名下的其他企业在禁止期内不得参加本次采购活动。</w:t>
      </w:r>
    </w:p>
    <w:p>
      <w:pPr>
        <w:tabs>
          <w:tab w:val="left" w:pos="7665"/>
        </w:tabs>
        <w:ind w:firstLine="600" w:firstLineChars="250"/>
        <w:rPr>
          <w:rFonts w:ascii="仿宋" w:hAnsi="仿宋"/>
          <w:color w:val="auto"/>
        </w:rPr>
      </w:pPr>
      <w:r>
        <w:rPr>
          <w:rFonts w:hint="eastAsia" w:ascii="仿宋" w:hAnsi="仿宋"/>
          <w:color w:val="auto"/>
        </w:rPr>
        <w:t xml:space="preserve">10.根据采购项目提出的特殊条件：/。 </w:t>
      </w:r>
    </w:p>
    <w:p>
      <w:pPr>
        <w:tabs>
          <w:tab w:val="left" w:pos="7665"/>
        </w:tabs>
        <w:ind w:firstLine="600" w:firstLineChars="250"/>
        <w:rPr>
          <w:rFonts w:ascii="仿宋" w:hAnsi="仿宋"/>
          <w:color w:val="auto"/>
        </w:rPr>
      </w:pPr>
      <w:r>
        <w:rPr>
          <w:rFonts w:hint="eastAsia" w:ascii="仿宋" w:hAnsi="仿宋"/>
          <w:color w:val="auto"/>
        </w:rPr>
        <w:t>11.本</w:t>
      </w:r>
      <w:r>
        <w:rPr>
          <w:rFonts w:ascii="仿宋" w:hAnsi="仿宋"/>
          <w:color w:val="auto"/>
        </w:rPr>
        <w:t>项目不允许联合体</w:t>
      </w:r>
      <w:r>
        <w:rPr>
          <w:rFonts w:hint="eastAsia" w:ascii="仿宋" w:hAnsi="仿宋"/>
          <w:color w:val="auto"/>
        </w:rPr>
        <w:t>参加</w:t>
      </w:r>
      <w:r>
        <w:rPr>
          <w:rFonts w:ascii="仿宋" w:hAnsi="仿宋"/>
          <w:color w:val="auto"/>
        </w:rPr>
        <w:t>。</w:t>
      </w:r>
    </w:p>
    <w:p>
      <w:pPr>
        <w:spacing w:after="120"/>
        <w:ind w:firstLine="482" w:firstLineChars="200"/>
        <w:rPr>
          <w:rFonts w:ascii="仿宋" w:hAnsi="仿宋"/>
          <w:b/>
          <w:color w:val="auto"/>
        </w:rPr>
      </w:pPr>
      <w:r>
        <w:rPr>
          <w:rFonts w:hint="eastAsia" w:ascii="仿宋" w:hAnsi="仿宋"/>
          <w:b/>
          <w:color w:val="auto"/>
        </w:rPr>
        <w:t>七、询比保证金：</w:t>
      </w:r>
      <w:r>
        <w:rPr>
          <w:rFonts w:hint="eastAsia" w:ascii="仿宋" w:hAnsi="仿宋"/>
          <w:bCs/>
          <w:color w:val="auto"/>
        </w:rPr>
        <w:t>本项目无需缴纳询比保证金。</w:t>
      </w:r>
    </w:p>
    <w:p>
      <w:pPr>
        <w:spacing w:after="120"/>
        <w:ind w:firstLine="482" w:firstLineChars="200"/>
        <w:rPr>
          <w:rFonts w:ascii="仿宋" w:hAnsi="仿宋"/>
          <w:b/>
          <w:color w:val="auto"/>
        </w:rPr>
      </w:pPr>
      <w:r>
        <w:rPr>
          <w:rFonts w:hint="eastAsia" w:ascii="仿宋" w:hAnsi="仿宋"/>
          <w:b/>
          <w:color w:val="auto"/>
        </w:rPr>
        <w:t>八、询比文件获取方法</w:t>
      </w:r>
    </w:p>
    <w:p>
      <w:pPr>
        <w:ind w:firstLine="480" w:firstLineChars="200"/>
        <w:rPr>
          <w:rFonts w:ascii="仿宋" w:hAnsi="仿宋"/>
          <w:color w:val="auto"/>
        </w:rPr>
      </w:pPr>
      <w:r>
        <w:rPr>
          <w:rFonts w:hint="eastAsia" w:ascii="仿宋" w:hAnsi="仿宋"/>
          <w:color w:val="auto"/>
        </w:rPr>
        <w:t>1、询比文件获取时间：2023年</w:t>
      </w:r>
      <w:r>
        <w:rPr>
          <w:rFonts w:hint="eastAsia" w:ascii="仿宋" w:hAnsi="仿宋"/>
          <w:color w:val="auto"/>
          <w:lang w:val="en-US" w:eastAsia="zh-CN"/>
        </w:rPr>
        <w:t>01</w:t>
      </w:r>
      <w:r>
        <w:rPr>
          <w:rFonts w:hint="eastAsia" w:ascii="仿宋" w:hAnsi="仿宋"/>
          <w:color w:val="auto"/>
        </w:rPr>
        <w:t>月</w:t>
      </w:r>
      <w:r>
        <w:rPr>
          <w:rFonts w:hint="eastAsia" w:ascii="仿宋" w:hAnsi="仿宋"/>
          <w:color w:val="auto"/>
          <w:lang w:val="en-US" w:eastAsia="zh-CN"/>
        </w:rPr>
        <w:t>13</w:t>
      </w:r>
      <w:r>
        <w:rPr>
          <w:rFonts w:hint="eastAsia" w:ascii="仿宋" w:hAnsi="仿宋"/>
          <w:color w:val="auto"/>
        </w:rPr>
        <w:t>日至2023年</w:t>
      </w:r>
      <w:r>
        <w:rPr>
          <w:rFonts w:hint="eastAsia" w:ascii="仿宋" w:hAnsi="仿宋"/>
          <w:color w:val="auto"/>
          <w:lang w:val="en-US" w:eastAsia="zh-CN"/>
        </w:rPr>
        <w:t>01</w:t>
      </w:r>
      <w:r>
        <w:rPr>
          <w:rFonts w:hint="eastAsia" w:ascii="仿宋" w:hAnsi="仿宋"/>
          <w:color w:val="auto"/>
        </w:rPr>
        <w:t>月</w:t>
      </w:r>
      <w:r>
        <w:rPr>
          <w:rFonts w:hint="eastAsia" w:ascii="仿宋" w:hAnsi="仿宋"/>
          <w:color w:val="auto"/>
          <w:lang w:val="en-US" w:eastAsia="zh-CN"/>
        </w:rPr>
        <w:t>17</w:t>
      </w:r>
      <w:r>
        <w:rPr>
          <w:rFonts w:hint="eastAsia" w:ascii="仿宋" w:hAnsi="仿宋"/>
          <w:color w:val="auto"/>
        </w:rPr>
        <w:t>日，</w:t>
      </w:r>
      <w:r>
        <w:rPr>
          <w:rFonts w:hint="eastAsia" w:ascii="仿宋" w:hAnsi="仿宋" w:cs="宋体"/>
          <w:color w:val="auto"/>
        </w:rPr>
        <w:t>每日</w:t>
      </w:r>
      <w:r>
        <w:rPr>
          <w:rFonts w:ascii="仿宋" w:hAnsi="仿宋" w:cs="宋体"/>
          <w:color w:val="auto"/>
        </w:rPr>
        <w:t>09:30-</w:t>
      </w:r>
      <w:r>
        <w:rPr>
          <w:rFonts w:hint="eastAsia" w:ascii="仿宋" w:hAnsi="仿宋" w:cs="宋体"/>
          <w:color w:val="auto"/>
        </w:rPr>
        <w:t>17</w:t>
      </w:r>
      <w:r>
        <w:rPr>
          <w:rFonts w:ascii="仿宋" w:hAnsi="仿宋" w:cs="宋体"/>
          <w:color w:val="auto"/>
        </w:rPr>
        <w:t>:</w:t>
      </w:r>
      <w:r>
        <w:rPr>
          <w:rFonts w:hint="eastAsia" w:ascii="仿宋" w:hAnsi="仿宋" w:cs="宋体"/>
          <w:color w:val="auto"/>
        </w:rPr>
        <w:t>0</w:t>
      </w:r>
      <w:r>
        <w:rPr>
          <w:rFonts w:ascii="仿宋" w:hAnsi="仿宋" w:cs="宋体"/>
          <w:color w:val="auto"/>
        </w:rPr>
        <w:t>0</w:t>
      </w:r>
      <w:r>
        <w:rPr>
          <w:rFonts w:hint="eastAsia" w:ascii="仿宋" w:hAnsi="仿宋" w:cs="宋体"/>
          <w:color w:val="auto"/>
        </w:rPr>
        <w:t>（北京时间，法定节假日除外）</w:t>
      </w:r>
    </w:p>
    <w:p>
      <w:pPr>
        <w:ind w:firstLine="480" w:firstLineChars="200"/>
        <w:rPr>
          <w:rFonts w:ascii="仿宋" w:hAnsi="仿宋"/>
          <w:color w:val="auto"/>
        </w:rPr>
      </w:pPr>
      <w:r>
        <w:rPr>
          <w:rFonts w:hint="eastAsia" w:ascii="仿宋" w:hAnsi="仿宋"/>
          <w:color w:val="auto"/>
        </w:rPr>
        <w:t>2、询比文件每套售价</w:t>
      </w:r>
      <w:r>
        <w:rPr>
          <w:rFonts w:hint="eastAsia" w:ascii="仿宋" w:hAnsi="仿宋"/>
          <w:color w:val="auto"/>
          <w:u w:val="single"/>
        </w:rPr>
        <w:t>300元</w:t>
      </w:r>
      <w:r>
        <w:rPr>
          <w:rFonts w:hint="eastAsia" w:ascii="仿宋" w:hAnsi="仿宋"/>
          <w:color w:val="auto"/>
        </w:rPr>
        <w:t>人民币。</w:t>
      </w:r>
    </w:p>
    <w:p>
      <w:pPr>
        <w:ind w:firstLine="480" w:firstLineChars="200"/>
        <w:rPr>
          <w:rFonts w:ascii="仿宋" w:hAnsi="仿宋"/>
          <w:color w:val="auto"/>
        </w:rPr>
      </w:pPr>
      <w:r>
        <w:rPr>
          <w:rFonts w:hint="eastAsia" w:ascii="仿宋" w:hAnsi="仿宋"/>
          <w:color w:val="auto"/>
        </w:rPr>
        <w:t>获取文件的费用直接汇款到以下账户：</w:t>
      </w:r>
    </w:p>
    <w:p>
      <w:pPr>
        <w:ind w:firstLine="480" w:firstLineChars="200"/>
        <w:rPr>
          <w:rFonts w:ascii="仿宋" w:hAnsi="仿宋"/>
          <w:color w:val="auto"/>
        </w:rPr>
      </w:pPr>
      <w:r>
        <w:rPr>
          <w:rFonts w:hint="eastAsia" w:ascii="仿宋" w:hAnsi="仿宋"/>
          <w:color w:val="auto"/>
        </w:rPr>
        <w:t>户名：新华招标有限公司</w:t>
      </w:r>
    </w:p>
    <w:p>
      <w:pPr>
        <w:ind w:firstLine="480" w:firstLineChars="200"/>
        <w:rPr>
          <w:rFonts w:ascii="仿宋" w:hAnsi="仿宋"/>
          <w:color w:val="auto"/>
        </w:rPr>
      </w:pPr>
      <w:r>
        <w:rPr>
          <w:rFonts w:hint="eastAsia" w:ascii="仿宋" w:hAnsi="仿宋"/>
          <w:color w:val="auto"/>
        </w:rPr>
        <w:t>开户行：</w:t>
      </w:r>
      <w:r>
        <w:rPr>
          <w:rFonts w:ascii="仿宋" w:hAnsi="仿宋"/>
          <w:color w:val="auto"/>
        </w:rPr>
        <w:t>广发银行股份有限公司北京科学园支行</w:t>
      </w:r>
    </w:p>
    <w:p>
      <w:pPr>
        <w:ind w:firstLine="480" w:firstLineChars="200"/>
        <w:rPr>
          <w:rFonts w:ascii="仿宋" w:hAnsi="仿宋"/>
          <w:color w:val="auto"/>
        </w:rPr>
      </w:pPr>
      <w:r>
        <w:rPr>
          <w:rFonts w:hint="eastAsia" w:ascii="仿宋" w:hAnsi="仿宋"/>
          <w:color w:val="auto"/>
        </w:rPr>
        <w:t>银行账号：6232593799006204401</w:t>
      </w:r>
    </w:p>
    <w:p>
      <w:pPr>
        <w:ind w:firstLine="482" w:firstLineChars="200"/>
        <w:rPr>
          <w:rFonts w:ascii="仿宋" w:hAnsi="仿宋"/>
          <w:color w:val="auto"/>
        </w:rPr>
      </w:pPr>
      <w:r>
        <w:rPr>
          <w:rFonts w:hint="eastAsia" w:ascii="仿宋" w:hAnsi="仿宋"/>
          <w:b/>
          <w:color w:val="auto"/>
        </w:rPr>
        <w:t>注：此账号只针对本项目，请在汇款备注中注明缴费单位名称（单位对公账户转款的除外）。</w:t>
      </w:r>
    </w:p>
    <w:p>
      <w:pPr>
        <w:ind w:firstLine="480" w:firstLineChars="200"/>
        <w:rPr>
          <w:rFonts w:ascii="仿宋" w:hAnsi="仿宋"/>
          <w:color w:val="auto"/>
        </w:rPr>
      </w:pPr>
      <w:r>
        <w:rPr>
          <w:rFonts w:hint="eastAsia" w:ascii="仿宋" w:hAnsi="仿宋"/>
          <w:color w:val="auto"/>
        </w:rPr>
        <w:t>3．询比文件获取方式，供应商可以选取以下任意一种方式获取（询比文件售后不退, 响应资格不能转让）：</w:t>
      </w:r>
    </w:p>
    <w:p>
      <w:pPr>
        <w:ind w:firstLine="480" w:firstLineChars="200"/>
        <w:rPr>
          <w:rFonts w:ascii="仿宋" w:hAnsi="仿宋"/>
          <w:color w:val="auto"/>
        </w:rPr>
      </w:pPr>
      <w:r>
        <w:rPr>
          <w:rFonts w:hint="eastAsia" w:ascii="仿宋" w:hAnsi="仿宋"/>
          <w:color w:val="auto"/>
        </w:rPr>
        <w:t>3.1现场获取：供应商应当委托经办人持下列资料到新华招标有限公司（地址：</w:t>
      </w:r>
      <w:r>
        <w:rPr>
          <w:rFonts w:hint="eastAsia" w:ascii="仿宋" w:hAnsi="仿宋" w:cs="仿宋"/>
          <w:color w:val="auto"/>
        </w:rPr>
        <w:t>绵阳市涪城区高水中街29号院内</w:t>
      </w:r>
      <w:r>
        <w:rPr>
          <w:rFonts w:hint="eastAsia" w:ascii="仿宋" w:hAnsi="仿宋"/>
          <w:color w:val="auto"/>
        </w:rPr>
        <w:t>）获取询比文件。</w:t>
      </w:r>
    </w:p>
    <w:p>
      <w:pPr>
        <w:ind w:firstLine="480" w:firstLineChars="200"/>
        <w:rPr>
          <w:rFonts w:ascii="仿宋" w:hAnsi="仿宋"/>
          <w:color w:val="auto"/>
        </w:rPr>
      </w:pPr>
      <w:r>
        <w:rPr>
          <w:rFonts w:hint="eastAsia" w:ascii="仿宋" w:hAnsi="仿宋"/>
          <w:color w:val="auto"/>
        </w:rPr>
        <w:t>（1）“</w:t>
      </w:r>
      <w:r>
        <w:rPr>
          <w:rFonts w:hint="eastAsia" w:ascii="仿宋" w:hAnsi="仿宋"/>
          <w:bCs/>
          <w:color w:val="auto"/>
        </w:rPr>
        <w:t>供应商信息登记表</w:t>
      </w:r>
      <w:r>
        <w:rPr>
          <w:rFonts w:hint="eastAsia" w:ascii="仿宋" w:hAnsi="仿宋"/>
          <w:color w:val="auto"/>
        </w:rPr>
        <w:t>”（请供应商在公告附件中自行下载并填写此表）</w:t>
      </w:r>
      <w:r>
        <w:rPr>
          <w:rFonts w:hint="eastAsia" w:ascii="仿宋" w:hAnsi="仿宋"/>
          <w:bCs/>
          <w:color w:val="auto"/>
        </w:rPr>
        <w:t>；</w:t>
      </w:r>
    </w:p>
    <w:p>
      <w:pPr>
        <w:ind w:firstLine="480" w:firstLineChars="200"/>
        <w:rPr>
          <w:rFonts w:ascii="仿宋" w:hAnsi="仿宋"/>
          <w:color w:val="auto"/>
        </w:rPr>
      </w:pPr>
      <w:r>
        <w:rPr>
          <w:rFonts w:hint="eastAsia" w:ascii="仿宋" w:hAnsi="仿宋"/>
          <w:color w:val="auto"/>
        </w:rPr>
        <w:t>（2）单位介绍信加盖公章；（自然人获取询比文件的无需提供单位介绍信）</w:t>
      </w:r>
    </w:p>
    <w:p>
      <w:pPr>
        <w:ind w:firstLine="480" w:firstLineChars="200"/>
        <w:rPr>
          <w:rFonts w:ascii="仿宋" w:hAnsi="仿宋"/>
          <w:color w:val="auto"/>
        </w:rPr>
      </w:pPr>
      <w:r>
        <w:rPr>
          <w:rFonts w:hint="eastAsia" w:ascii="仿宋" w:hAnsi="仿宋"/>
          <w:color w:val="auto"/>
        </w:rPr>
        <w:t>（3）加盖单位公章的经办人身份证复印件；（自然人参与的无需盖章）</w:t>
      </w:r>
    </w:p>
    <w:p>
      <w:pPr>
        <w:ind w:firstLine="480" w:firstLineChars="200"/>
        <w:rPr>
          <w:rFonts w:ascii="仿宋" w:hAnsi="仿宋"/>
          <w:color w:val="auto"/>
        </w:rPr>
      </w:pPr>
      <w:r>
        <w:rPr>
          <w:rFonts w:hint="eastAsia" w:ascii="仿宋" w:hAnsi="仿宋"/>
          <w:color w:val="auto"/>
        </w:rPr>
        <w:t>（4）获取采购文件转款凭证（如有）；</w:t>
      </w:r>
    </w:p>
    <w:p>
      <w:pPr>
        <w:ind w:firstLine="480" w:firstLineChars="200"/>
        <w:rPr>
          <w:rFonts w:ascii="仿宋" w:hAnsi="仿宋"/>
          <w:color w:val="auto"/>
        </w:rPr>
      </w:pPr>
      <w:r>
        <w:rPr>
          <w:rFonts w:hint="eastAsia" w:ascii="仿宋" w:hAnsi="仿宋"/>
          <w:color w:val="auto"/>
        </w:rPr>
        <w:t>（5）供应商开票基本信息和发票邮寄地址（电子档）。</w:t>
      </w:r>
    </w:p>
    <w:p>
      <w:pPr>
        <w:ind w:firstLine="480" w:firstLineChars="200"/>
        <w:rPr>
          <w:rFonts w:ascii="仿宋" w:hAnsi="仿宋"/>
          <w:color w:val="auto"/>
        </w:rPr>
      </w:pPr>
      <w:r>
        <w:rPr>
          <w:rFonts w:hint="eastAsia" w:ascii="仿宋" w:hAnsi="仿宋"/>
          <w:color w:val="auto"/>
        </w:rPr>
        <w:t>以上资料无误后，采购代理机构工作人员向供应商提供采购文件。</w:t>
      </w:r>
    </w:p>
    <w:p>
      <w:pPr>
        <w:ind w:firstLine="480" w:firstLineChars="200"/>
        <w:rPr>
          <w:rFonts w:ascii="仿宋" w:hAnsi="仿宋"/>
          <w:color w:val="auto"/>
        </w:rPr>
      </w:pPr>
      <w:r>
        <w:rPr>
          <w:rFonts w:hint="eastAsia" w:ascii="仿宋" w:hAnsi="仿宋"/>
          <w:color w:val="auto"/>
        </w:rPr>
        <w:t>3.2远程获取：</w:t>
      </w:r>
    </w:p>
    <w:p>
      <w:pPr>
        <w:ind w:firstLine="480" w:firstLineChars="200"/>
        <w:rPr>
          <w:rFonts w:ascii="仿宋" w:hAnsi="仿宋"/>
          <w:color w:val="auto"/>
        </w:rPr>
      </w:pPr>
      <w:r>
        <w:rPr>
          <w:rFonts w:hint="eastAsia" w:ascii="仿宋" w:hAnsi="仿宋"/>
          <w:color w:val="auto"/>
        </w:rPr>
        <w:t>供应商将下列资料发送至采购代理机构电子邮箱（wuruoning@xhtc.com.cn），并电话告知采购代理机构工作人员。</w:t>
      </w:r>
    </w:p>
    <w:p>
      <w:pPr>
        <w:ind w:firstLine="480" w:firstLineChars="200"/>
        <w:rPr>
          <w:rFonts w:ascii="仿宋" w:hAnsi="仿宋"/>
          <w:color w:val="auto"/>
        </w:rPr>
      </w:pPr>
      <w:r>
        <w:rPr>
          <w:rFonts w:hint="eastAsia" w:ascii="仿宋" w:hAnsi="仿宋"/>
          <w:color w:val="auto"/>
        </w:rPr>
        <w:t>（1）“</w:t>
      </w:r>
      <w:r>
        <w:rPr>
          <w:rFonts w:hint="eastAsia" w:ascii="仿宋" w:hAnsi="仿宋"/>
          <w:bCs/>
          <w:color w:val="auto"/>
        </w:rPr>
        <w:t>供应商信息登记表</w:t>
      </w:r>
      <w:r>
        <w:rPr>
          <w:rFonts w:hint="eastAsia" w:ascii="仿宋" w:hAnsi="仿宋"/>
          <w:color w:val="auto"/>
        </w:rPr>
        <w:t>”（请供应商在公告附件中自行下载并填写此表）；</w:t>
      </w:r>
    </w:p>
    <w:p>
      <w:pPr>
        <w:ind w:firstLine="480" w:firstLineChars="200"/>
        <w:rPr>
          <w:rFonts w:ascii="仿宋" w:hAnsi="仿宋"/>
          <w:color w:val="auto"/>
        </w:rPr>
      </w:pPr>
      <w:r>
        <w:rPr>
          <w:rFonts w:hint="eastAsia" w:ascii="仿宋" w:hAnsi="仿宋"/>
          <w:color w:val="auto"/>
        </w:rPr>
        <w:t>（2）单位介绍信加盖公章（原件扫描件，自然人获取询比文件无须提供单位介绍信）；</w:t>
      </w:r>
    </w:p>
    <w:p>
      <w:pPr>
        <w:ind w:firstLine="480" w:firstLineChars="200"/>
        <w:rPr>
          <w:rFonts w:ascii="仿宋" w:hAnsi="仿宋"/>
          <w:color w:val="auto"/>
        </w:rPr>
      </w:pPr>
      <w:r>
        <w:rPr>
          <w:rFonts w:hint="eastAsia" w:ascii="仿宋" w:hAnsi="仿宋"/>
          <w:color w:val="auto"/>
        </w:rPr>
        <w:t>（3）加盖单位公章的经办人身份证扫描件（自然人参与的无需盖章）；</w:t>
      </w:r>
    </w:p>
    <w:p>
      <w:pPr>
        <w:ind w:firstLine="480" w:firstLineChars="200"/>
        <w:rPr>
          <w:rFonts w:ascii="仿宋" w:hAnsi="仿宋"/>
          <w:color w:val="auto"/>
        </w:rPr>
      </w:pPr>
      <w:r>
        <w:rPr>
          <w:rFonts w:hint="eastAsia" w:ascii="仿宋" w:hAnsi="仿宋"/>
          <w:color w:val="auto"/>
        </w:rPr>
        <w:t>（4）获取采购文件转款凭证（如有）；</w:t>
      </w:r>
    </w:p>
    <w:p>
      <w:pPr>
        <w:ind w:firstLine="480" w:firstLineChars="200"/>
        <w:rPr>
          <w:rFonts w:ascii="仿宋" w:hAnsi="仿宋"/>
          <w:color w:val="auto"/>
        </w:rPr>
      </w:pPr>
      <w:r>
        <w:rPr>
          <w:rFonts w:hint="eastAsia" w:ascii="仿宋" w:hAnsi="仿宋"/>
          <w:color w:val="auto"/>
        </w:rPr>
        <w:t>（5）供应商开票基本信息和发票邮寄地址（电子档）。</w:t>
      </w:r>
    </w:p>
    <w:p>
      <w:pPr>
        <w:ind w:firstLine="480" w:firstLineChars="200"/>
        <w:rPr>
          <w:rFonts w:ascii="仿宋" w:hAnsi="仿宋"/>
          <w:color w:val="auto"/>
        </w:rPr>
      </w:pPr>
      <w:r>
        <w:rPr>
          <w:rFonts w:hint="eastAsia" w:ascii="仿宋" w:hAnsi="仿宋"/>
          <w:color w:val="auto"/>
        </w:rPr>
        <w:t>以上资料无误后，采购代理机构工作人员向供应商提供采购文件。</w:t>
      </w:r>
    </w:p>
    <w:p>
      <w:pPr>
        <w:ind w:firstLine="480" w:firstLineChars="200"/>
        <w:rPr>
          <w:rFonts w:ascii="仿宋" w:hAnsi="仿宋"/>
          <w:color w:val="auto"/>
        </w:rPr>
      </w:pPr>
      <w:r>
        <w:rPr>
          <w:rFonts w:hint="eastAsia" w:ascii="仿宋" w:hAnsi="仿宋"/>
          <w:color w:val="auto"/>
        </w:rPr>
        <w:t>注：未获取询比文件并登记备案的供应商不得参加本项目询比响应。</w:t>
      </w:r>
    </w:p>
    <w:p>
      <w:pPr>
        <w:spacing w:after="120"/>
        <w:ind w:firstLine="482" w:firstLineChars="200"/>
        <w:rPr>
          <w:rFonts w:ascii="仿宋" w:hAnsi="仿宋"/>
          <w:color w:val="auto"/>
        </w:rPr>
      </w:pPr>
      <w:r>
        <w:rPr>
          <w:rFonts w:hint="eastAsia" w:ascii="仿宋" w:hAnsi="仿宋"/>
          <w:b/>
          <w:color w:val="auto"/>
        </w:rPr>
        <w:t>九、递交响应文件截止时间：</w:t>
      </w:r>
      <w:r>
        <w:rPr>
          <w:rFonts w:ascii="仿宋" w:hAnsi="仿宋"/>
          <w:color w:val="auto"/>
        </w:rPr>
        <w:t>2023</w:t>
      </w:r>
      <w:r>
        <w:rPr>
          <w:rFonts w:hint="eastAsia" w:ascii="仿宋" w:hAnsi="仿宋"/>
          <w:color w:val="auto"/>
        </w:rPr>
        <w:t>年</w:t>
      </w:r>
      <w:r>
        <w:rPr>
          <w:rFonts w:hint="eastAsia" w:ascii="仿宋" w:hAnsi="仿宋"/>
          <w:color w:val="auto"/>
          <w:lang w:val="en-US" w:eastAsia="zh-CN"/>
        </w:rPr>
        <w:t>02</w:t>
      </w:r>
      <w:r>
        <w:rPr>
          <w:rFonts w:hint="eastAsia" w:ascii="仿宋" w:hAnsi="仿宋"/>
          <w:color w:val="auto"/>
        </w:rPr>
        <w:t>月</w:t>
      </w:r>
      <w:r>
        <w:rPr>
          <w:rFonts w:hint="eastAsia" w:ascii="仿宋" w:hAnsi="仿宋"/>
          <w:color w:val="auto"/>
          <w:lang w:val="en-US" w:eastAsia="zh-CN"/>
        </w:rPr>
        <w:t>02</w:t>
      </w:r>
      <w:r>
        <w:rPr>
          <w:rFonts w:hint="eastAsia" w:ascii="仿宋" w:hAnsi="仿宋"/>
          <w:color w:val="auto"/>
        </w:rPr>
        <w:t>日</w:t>
      </w:r>
      <w:r>
        <w:rPr>
          <w:rFonts w:hint="eastAsia" w:ascii="仿宋" w:hAnsi="仿宋"/>
          <w:color w:val="auto"/>
          <w:lang w:val="en-US" w:eastAsia="zh-CN"/>
        </w:rPr>
        <w:t>17</w:t>
      </w:r>
      <w:r>
        <w:rPr>
          <w:rFonts w:hint="eastAsia" w:ascii="仿宋" w:hAnsi="仿宋"/>
          <w:color w:val="auto"/>
        </w:rPr>
        <w:t>时</w:t>
      </w:r>
      <w:r>
        <w:rPr>
          <w:rFonts w:hint="eastAsia" w:ascii="仿宋" w:hAnsi="仿宋"/>
          <w:color w:val="auto"/>
          <w:lang w:val="en-US" w:eastAsia="zh-CN"/>
        </w:rPr>
        <w:t>00</w:t>
      </w:r>
      <w:r>
        <w:rPr>
          <w:rFonts w:hint="eastAsia" w:ascii="仿宋" w:hAnsi="仿宋"/>
          <w:color w:val="auto"/>
        </w:rPr>
        <w:t>分</w:t>
      </w:r>
      <w:r>
        <w:rPr>
          <w:rFonts w:ascii="仿宋" w:hAnsi="仿宋"/>
          <w:color w:val="auto"/>
        </w:rPr>
        <w:t>（北京时间）</w:t>
      </w:r>
      <w:r>
        <w:rPr>
          <w:rFonts w:hint="eastAsia" w:ascii="仿宋" w:hAnsi="仿宋"/>
          <w:color w:val="auto"/>
        </w:rPr>
        <w:t>。</w:t>
      </w:r>
    </w:p>
    <w:p>
      <w:pPr>
        <w:spacing w:after="120"/>
        <w:ind w:firstLine="482" w:firstLineChars="200"/>
        <w:rPr>
          <w:rFonts w:ascii="仿宋" w:hAnsi="仿宋"/>
          <w:color w:val="auto"/>
        </w:rPr>
      </w:pPr>
      <w:r>
        <w:rPr>
          <w:rFonts w:hint="eastAsia" w:ascii="仿宋" w:hAnsi="仿宋"/>
          <w:b/>
          <w:color w:val="auto"/>
        </w:rPr>
        <w:t>十、递交响应文件地点：</w:t>
      </w:r>
      <w:bookmarkStart w:id="7" w:name="PO_默认文件内容_7"/>
      <w:r>
        <w:rPr>
          <w:rFonts w:hint="eastAsia" w:ascii="仿宋" w:hAnsi="仿宋"/>
          <w:color w:val="auto"/>
        </w:rPr>
        <w:t>绵阳市涪城区高水中街</w:t>
      </w:r>
      <w:r>
        <w:rPr>
          <w:rFonts w:ascii="仿宋" w:hAnsi="仿宋"/>
          <w:color w:val="auto"/>
        </w:rPr>
        <w:t>29</w:t>
      </w:r>
      <w:r>
        <w:rPr>
          <w:rFonts w:hint="eastAsia" w:ascii="仿宋" w:hAnsi="仿宋"/>
          <w:color w:val="auto"/>
        </w:rPr>
        <w:t>号院内本项目开标厅，响应文件必须在递交响应文件截止时间前送达递交地点。逾期送达或密封不符合询比文件要求的响应文件恕不接收。本次采购接收邮寄的响应文件。</w:t>
      </w:r>
      <w:bookmarkEnd w:id="7"/>
    </w:p>
    <w:p>
      <w:pPr>
        <w:spacing w:after="120"/>
        <w:ind w:firstLine="482" w:firstLineChars="200"/>
        <w:rPr>
          <w:b/>
          <w:bCs/>
          <w:color w:val="auto"/>
        </w:rPr>
      </w:pPr>
      <w:r>
        <w:rPr>
          <w:rFonts w:hint="eastAsia" w:ascii="仿宋" w:hAnsi="仿宋"/>
          <w:b/>
          <w:bCs/>
          <w:color w:val="auto"/>
        </w:rPr>
        <w:t>邮寄响应文件收件地址：绵阳市涪城区高水中街</w:t>
      </w:r>
      <w:r>
        <w:rPr>
          <w:rFonts w:ascii="仿宋" w:hAnsi="仿宋"/>
          <w:b/>
          <w:bCs/>
          <w:color w:val="auto"/>
        </w:rPr>
        <w:t>29</w:t>
      </w:r>
      <w:r>
        <w:rPr>
          <w:rFonts w:hint="eastAsia" w:ascii="仿宋" w:hAnsi="仿宋"/>
          <w:b/>
          <w:bCs/>
          <w:color w:val="auto"/>
        </w:rPr>
        <w:t>号院内</w:t>
      </w:r>
    </w:p>
    <w:p>
      <w:pPr>
        <w:spacing w:after="120"/>
        <w:ind w:firstLine="482" w:firstLineChars="200"/>
        <w:rPr>
          <w:b/>
          <w:bCs/>
          <w:color w:val="auto"/>
        </w:rPr>
      </w:pPr>
      <w:r>
        <w:rPr>
          <w:rFonts w:hint="eastAsia"/>
          <w:b/>
          <w:bCs/>
          <w:color w:val="auto"/>
        </w:rPr>
        <w:t>收件人：林燕</w:t>
      </w:r>
    </w:p>
    <w:p>
      <w:pPr>
        <w:spacing w:after="120"/>
        <w:ind w:firstLine="482" w:firstLineChars="200"/>
        <w:rPr>
          <w:b/>
          <w:bCs/>
          <w:color w:val="auto"/>
        </w:rPr>
      </w:pPr>
      <w:r>
        <w:rPr>
          <w:rFonts w:hint="eastAsia"/>
          <w:b/>
          <w:bCs/>
          <w:color w:val="auto"/>
        </w:rPr>
        <w:t>联系电话：18989289712</w:t>
      </w:r>
    </w:p>
    <w:p>
      <w:pPr>
        <w:spacing w:after="120"/>
        <w:ind w:firstLine="482" w:firstLineChars="200"/>
        <w:rPr>
          <w:rFonts w:ascii="仿宋" w:hAnsi="仿宋"/>
          <w:b/>
          <w:color w:val="auto"/>
        </w:rPr>
      </w:pPr>
      <w:r>
        <w:rPr>
          <w:rFonts w:hint="eastAsia" w:ascii="仿宋" w:hAnsi="仿宋"/>
          <w:b/>
          <w:color w:val="auto"/>
        </w:rPr>
        <w:t>十一、联系方式</w:t>
      </w:r>
    </w:p>
    <w:p>
      <w:pPr>
        <w:pStyle w:val="44"/>
        <w:ind w:firstLine="441" w:firstLineChars="183"/>
        <w:rPr>
          <w:rFonts w:ascii="仿宋" w:hAnsi="仿宋"/>
          <w:b/>
          <w:bCs/>
          <w:color w:val="auto"/>
        </w:rPr>
      </w:pPr>
      <w:bookmarkStart w:id="8" w:name="_Toc213397009"/>
      <w:bookmarkStart w:id="9" w:name="_Toc213396945"/>
      <w:bookmarkStart w:id="10" w:name="_Toc213496267"/>
      <w:bookmarkStart w:id="11" w:name="_Toc213396759"/>
      <w:bookmarkStart w:id="12" w:name="_Toc217446031"/>
      <w:r>
        <w:rPr>
          <w:rFonts w:hint="eastAsia" w:ascii="仿宋" w:hAnsi="仿宋"/>
          <w:b/>
          <w:bCs/>
          <w:color w:val="auto"/>
        </w:rPr>
        <w:t>采购人：中国工程物理研究院激光聚变研究中心</w:t>
      </w:r>
    </w:p>
    <w:p>
      <w:pPr>
        <w:pStyle w:val="44"/>
        <w:ind w:firstLine="439" w:firstLineChars="183"/>
        <w:rPr>
          <w:rFonts w:ascii="仿宋" w:hAnsi="仿宋"/>
          <w:bCs/>
          <w:color w:val="auto"/>
        </w:rPr>
      </w:pPr>
      <w:r>
        <w:rPr>
          <w:rFonts w:hint="eastAsia" w:ascii="仿宋" w:hAnsi="仿宋"/>
          <w:bCs/>
          <w:color w:val="auto"/>
        </w:rPr>
        <w:t>通讯地址：四川省绵阳市游仙区绵山路64号</w:t>
      </w:r>
    </w:p>
    <w:p>
      <w:pPr>
        <w:pStyle w:val="44"/>
        <w:ind w:firstLine="439" w:firstLineChars="183"/>
        <w:rPr>
          <w:rFonts w:ascii="仿宋" w:hAnsi="仿宋"/>
          <w:bCs/>
          <w:color w:val="auto"/>
        </w:rPr>
      </w:pPr>
      <w:r>
        <w:rPr>
          <w:rFonts w:hint="eastAsia" w:ascii="仿宋" w:hAnsi="仿宋"/>
          <w:bCs/>
          <w:color w:val="auto"/>
        </w:rPr>
        <w:t>邮    编：621900</w:t>
      </w:r>
    </w:p>
    <w:p>
      <w:pPr>
        <w:pStyle w:val="44"/>
        <w:ind w:firstLine="439" w:firstLineChars="183"/>
        <w:rPr>
          <w:rFonts w:ascii="仿宋" w:hAnsi="仿宋"/>
          <w:bCs/>
          <w:color w:val="auto"/>
        </w:rPr>
      </w:pPr>
      <w:r>
        <w:rPr>
          <w:rFonts w:hint="eastAsia" w:ascii="仿宋" w:hAnsi="仿宋"/>
          <w:bCs/>
          <w:color w:val="auto"/>
        </w:rPr>
        <w:t>联系人：戴曾海</w:t>
      </w:r>
    </w:p>
    <w:p>
      <w:pPr>
        <w:pStyle w:val="44"/>
        <w:ind w:firstLine="439" w:firstLineChars="183"/>
        <w:rPr>
          <w:rFonts w:ascii="仿宋" w:hAnsi="仿宋" w:cs="宋体"/>
          <w:color w:val="auto"/>
        </w:rPr>
      </w:pPr>
      <w:r>
        <w:rPr>
          <w:rFonts w:hint="eastAsia" w:ascii="仿宋" w:hAnsi="仿宋"/>
          <w:bCs/>
          <w:color w:val="auto"/>
        </w:rPr>
        <w:t>联系电话：0816-2492248</w:t>
      </w:r>
    </w:p>
    <w:p>
      <w:pPr>
        <w:pStyle w:val="44"/>
        <w:ind w:firstLine="439" w:firstLineChars="183"/>
        <w:rPr>
          <w:rFonts w:ascii="仿宋" w:hAnsi="仿宋"/>
          <w:bCs/>
          <w:color w:val="auto"/>
        </w:rPr>
      </w:pPr>
    </w:p>
    <w:p>
      <w:pPr>
        <w:pStyle w:val="44"/>
        <w:ind w:firstLine="441" w:firstLineChars="183"/>
        <w:rPr>
          <w:rFonts w:ascii="仿宋" w:hAnsi="仿宋" w:cs="仿宋"/>
          <w:b/>
          <w:color w:val="auto"/>
        </w:rPr>
      </w:pPr>
      <w:r>
        <w:rPr>
          <w:rFonts w:hint="eastAsia" w:ascii="仿宋" w:hAnsi="仿宋" w:cs="仿宋"/>
          <w:b/>
          <w:color w:val="auto"/>
        </w:rPr>
        <w:t>采购代理机构：</w:t>
      </w:r>
      <w:r>
        <w:rPr>
          <w:color w:val="auto"/>
        </w:rPr>
        <w:fldChar w:fldCharType="begin"/>
      </w:r>
      <w:r>
        <w:rPr>
          <w:color w:val="auto"/>
        </w:rPr>
        <w:instrText xml:space="preserve"> HYPERLINK "javascript:void(0);" </w:instrText>
      </w:r>
      <w:r>
        <w:rPr>
          <w:color w:val="auto"/>
        </w:rPr>
        <w:fldChar w:fldCharType="separate"/>
      </w:r>
      <w:r>
        <w:rPr>
          <w:rFonts w:hint="eastAsia" w:ascii="仿宋" w:hAnsi="仿宋" w:cs="仿宋"/>
          <w:b/>
          <w:color w:val="auto"/>
        </w:rPr>
        <w:t>新华招标有限公司</w:t>
      </w:r>
      <w:r>
        <w:rPr>
          <w:rFonts w:hint="eastAsia" w:ascii="仿宋" w:hAnsi="仿宋" w:cs="仿宋"/>
          <w:b/>
          <w:color w:val="auto"/>
        </w:rPr>
        <w:fldChar w:fldCharType="end"/>
      </w:r>
    </w:p>
    <w:p>
      <w:pPr>
        <w:ind w:firstLine="480" w:firstLineChars="200"/>
        <w:rPr>
          <w:rFonts w:ascii="仿宋" w:hAnsi="仿宋" w:cs="仿宋"/>
          <w:color w:val="auto"/>
        </w:rPr>
      </w:pPr>
      <w:r>
        <w:rPr>
          <w:rFonts w:hint="eastAsia" w:ascii="仿宋" w:hAnsi="仿宋" w:cs="仿宋"/>
          <w:color w:val="auto"/>
        </w:rPr>
        <w:t>总部地址：北京市海淀区莲花池东路39号西金大厦8层810室</w:t>
      </w:r>
    </w:p>
    <w:p>
      <w:pPr>
        <w:ind w:firstLine="480" w:firstLineChars="200"/>
        <w:rPr>
          <w:rFonts w:ascii="仿宋" w:hAnsi="仿宋" w:cs="仿宋"/>
          <w:color w:val="auto"/>
        </w:rPr>
      </w:pPr>
      <w:r>
        <w:rPr>
          <w:rFonts w:hint="eastAsia" w:ascii="仿宋" w:hAnsi="仿宋" w:cs="仿宋"/>
          <w:color w:val="auto"/>
        </w:rPr>
        <w:t>绵阳分处地址：绵阳市涪城区高水中街29号院内</w:t>
      </w:r>
    </w:p>
    <w:p>
      <w:pPr>
        <w:ind w:firstLine="480" w:firstLineChars="200"/>
        <w:rPr>
          <w:rFonts w:ascii="仿宋" w:hAnsi="仿宋" w:cs="仿宋"/>
          <w:color w:val="auto"/>
        </w:rPr>
      </w:pPr>
      <w:r>
        <w:rPr>
          <w:rFonts w:hint="eastAsia" w:ascii="仿宋" w:hAnsi="仿宋" w:cs="仿宋"/>
          <w:color w:val="auto"/>
        </w:rPr>
        <w:t>邮    编：621000</w:t>
      </w:r>
    </w:p>
    <w:p>
      <w:pPr>
        <w:pStyle w:val="44"/>
        <w:ind w:firstLine="439" w:firstLineChars="183"/>
        <w:rPr>
          <w:rFonts w:ascii="仿宋" w:hAnsi="仿宋" w:cs="仿宋"/>
          <w:color w:val="auto"/>
        </w:rPr>
      </w:pPr>
      <w:bookmarkStart w:id="13" w:name="_Hlk58420669"/>
      <w:r>
        <w:rPr>
          <w:rFonts w:hint="eastAsia" w:ascii="仿宋" w:hAnsi="仿宋" w:cs="仿宋"/>
          <w:color w:val="auto"/>
        </w:rPr>
        <w:t>联 系 人：何艺、林燕</w:t>
      </w:r>
    </w:p>
    <w:p>
      <w:pPr>
        <w:pStyle w:val="44"/>
        <w:ind w:firstLine="439" w:firstLineChars="183"/>
        <w:rPr>
          <w:rFonts w:ascii="仿宋" w:hAnsi="仿宋"/>
          <w:bCs/>
          <w:color w:val="auto"/>
        </w:rPr>
      </w:pPr>
      <w:r>
        <w:rPr>
          <w:rFonts w:hint="eastAsia" w:ascii="仿宋" w:hAnsi="仿宋"/>
          <w:bCs/>
          <w:color w:val="auto"/>
        </w:rPr>
        <w:t>联系电话：</w:t>
      </w:r>
      <w:r>
        <w:rPr>
          <w:rFonts w:hint="eastAsia" w:ascii="仿宋" w:hAnsi="仿宋" w:cs="仿宋"/>
          <w:color w:val="auto"/>
        </w:rPr>
        <w:t>18989289701（获取文件咨询）、18989289712（采购文件咨询）</w:t>
      </w:r>
    </w:p>
    <w:p>
      <w:pPr>
        <w:pStyle w:val="44"/>
        <w:ind w:firstLine="439" w:firstLineChars="183"/>
        <w:rPr>
          <w:rFonts w:ascii="仿宋" w:hAnsi="仿宋"/>
          <w:bCs/>
          <w:color w:val="auto"/>
        </w:rPr>
      </w:pPr>
      <w:r>
        <w:rPr>
          <w:rFonts w:hint="eastAsia" w:ascii="仿宋" w:hAnsi="仿宋"/>
          <w:bCs/>
          <w:color w:val="auto"/>
        </w:rPr>
        <w:t>传    真：/</w:t>
      </w:r>
    </w:p>
    <w:p>
      <w:pPr>
        <w:pStyle w:val="44"/>
        <w:ind w:firstLine="439" w:firstLineChars="183"/>
        <w:rPr>
          <w:rFonts w:ascii="仿宋" w:hAnsi="仿宋"/>
          <w:bCs/>
          <w:color w:val="auto"/>
        </w:rPr>
      </w:pPr>
      <w:r>
        <w:rPr>
          <w:rFonts w:hint="eastAsia" w:ascii="仿宋" w:hAnsi="仿宋"/>
          <w:bCs/>
          <w:color w:val="auto"/>
        </w:rPr>
        <w:t>电子邮件：wuruoning@xhtc.com.cn</w:t>
      </w:r>
    </w:p>
    <w:bookmarkEnd w:id="13"/>
    <w:p>
      <w:pPr>
        <w:pStyle w:val="44"/>
        <w:ind w:right="960" w:firstLine="919" w:firstLineChars="383"/>
        <w:jc w:val="center"/>
        <w:rPr>
          <w:rFonts w:ascii="仿宋" w:hAnsi="仿宋" w:cs="宋体"/>
          <w:color w:val="auto"/>
        </w:rPr>
      </w:pPr>
      <w:r>
        <w:rPr>
          <w:rFonts w:hint="eastAsia" w:ascii="仿宋" w:hAnsi="仿宋" w:cs="宋体"/>
          <w:color w:val="auto"/>
        </w:rPr>
        <w:t xml:space="preserve">                                 2023年</w:t>
      </w:r>
      <w:r>
        <w:rPr>
          <w:rFonts w:hint="eastAsia" w:ascii="仿宋" w:hAnsi="仿宋" w:cs="宋体"/>
          <w:color w:val="auto"/>
          <w:lang w:val="en-US" w:eastAsia="zh-CN"/>
        </w:rPr>
        <w:t>01</w:t>
      </w:r>
      <w:r>
        <w:rPr>
          <w:rFonts w:hint="eastAsia" w:ascii="仿宋" w:hAnsi="仿宋" w:cs="宋体"/>
          <w:color w:val="auto"/>
        </w:rPr>
        <w:t>月</w:t>
      </w:r>
      <w:r>
        <w:rPr>
          <w:rFonts w:hint="eastAsia" w:ascii="仿宋" w:hAnsi="仿宋" w:cs="宋体"/>
          <w:color w:val="auto"/>
          <w:lang w:val="en-US" w:eastAsia="zh-CN"/>
        </w:rPr>
        <w:t>12</w:t>
      </w:r>
      <w:r>
        <w:rPr>
          <w:rFonts w:hint="eastAsia" w:ascii="仿宋" w:hAnsi="仿宋" w:cs="宋体"/>
          <w:color w:val="auto"/>
        </w:rPr>
        <w:t>日</w:t>
      </w:r>
      <w:bookmarkEnd w:id="1"/>
      <w:bookmarkEnd w:id="2"/>
    </w:p>
    <w:p>
      <w:pPr>
        <w:widowControl/>
        <w:spacing w:line="240" w:lineRule="auto"/>
        <w:jc w:val="left"/>
        <w:rPr>
          <w:rFonts w:ascii="仿宋" w:hAnsi="仿宋"/>
          <w:color w:val="auto"/>
        </w:rPr>
      </w:pPr>
      <w:r>
        <w:rPr>
          <w:rFonts w:ascii="仿宋" w:hAnsi="仿宋"/>
          <w:color w:val="auto"/>
        </w:rPr>
        <w:br w:type="page"/>
      </w:r>
    </w:p>
    <w:p>
      <w:pPr>
        <w:ind w:right="360" w:rightChars="150" w:firstLine="482" w:firstLineChars="200"/>
        <w:rPr>
          <w:rFonts w:ascii="仿宋" w:hAnsi="仿宋"/>
          <w:b/>
          <w:bCs/>
          <w:color w:val="auto"/>
        </w:rPr>
      </w:pPr>
      <w:bookmarkStart w:id="14" w:name="_Toc37838083"/>
      <w:r>
        <w:rPr>
          <w:rFonts w:hint="eastAsia" w:ascii="仿宋" w:hAnsi="仿宋"/>
          <w:b/>
          <w:bCs/>
          <w:color w:val="auto"/>
        </w:rPr>
        <w:t>附件：供应商信息登记表（上传至公告附件）</w:t>
      </w:r>
    </w:p>
    <w:tbl>
      <w:tblPr>
        <w:tblStyle w:val="26"/>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3235"/>
        <w:gridCol w:w="1408"/>
        <w:gridCol w:w="2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color w:val="auto"/>
              </w:rPr>
            </w:pPr>
            <w:r>
              <w:rPr>
                <w:rFonts w:hint="eastAsia" w:ascii="仿宋" w:hAnsi="仿宋"/>
                <w:color w:val="auto"/>
              </w:rPr>
              <w:t>项目名称</w:t>
            </w:r>
          </w:p>
        </w:tc>
        <w:tc>
          <w:tcPr>
            <w:tcW w:w="721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color w:val="auto"/>
              </w:rPr>
            </w:pPr>
            <w:r>
              <w:rPr>
                <w:rFonts w:hint="eastAsia" w:ascii="仿宋" w:hAnsi="仿宋"/>
                <w:b/>
                <w:color w:val="auto"/>
              </w:rPr>
              <w:t>内部安装架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cs="宋体"/>
                <w:color w:val="auto"/>
              </w:rPr>
            </w:pPr>
            <w:r>
              <w:rPr>
                <w:rFonts w:hint="eastAsia" w:ascii="仿宋" w:hAnsi="仿宋" w:cs="宋体"/>
                <w:color w:val="auto"/>
              </w:rPr>
              <w:t>采购编号</w:t>
            </w:r>
          </w:p>
        </w:tc>
        <w:tc>
          <w:tcPr>
            <w:tcW w:w="3235" w:type="dxa"/>
            <w:tcBorders>
              <w:top w:val="single" w:color="auto" w:sz="4" w:space="0"/>
              <w:left w:val="single" w:color="auto" w:sz="4" w:space="0"/>
              <w:bottom w:val="single" w:color="auto" w:sz="4" w:space="0"/>
              <w:right w:val="single" w:color="auto" w:sz="4" w:space="0"/>
            </w:tcBorders>
            <w:vAlign w:val="center"/>
          </w:tcPr>
          <w:p>
            <w:pPr>
              <w:ind w:firstLine="482" w:firstLineChars="200"/>
              <w:jc w:val="center"/>
              <w:rPr>
                <w:rFonts w:ascii="仿宋" w:hAnsi="仿宋" w:cs="宋体"/>
                <w:color w:val="auto"/>
              </w:rPr>
            </w:pPr>
            <w:r>
              <w:rPr>
                <w:rFonts w:hint="eastAsia" w:ascii="仿宋" w:hAnsi="仿宋"/>
                <w:b/>
                <w:color w:val="auto"/>
              </w:rPr>
              <w:t>KY20220412B027</w:t>
            </w:r>
          </w:p>
        </w:tc>
        <w:tc>
          <w:tcPr>
            <w:tcW w:w="1408"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 w:hAnsi="仿宋"/>
                <w:color w:val="auto"/>
              </w:rPr>
            </w:pPr>
            <w:r>
              <w:rPr>
                <w:rFonts w:hint="eastAsia" w:ascii="仿宋" w:hAnsi="仿宋"/>
                <w:color w:val="auto"/>
              </w:rPr>
              <w:t>包号</w:t>
            </w:r>
          </w:p>
        </w:tc>
        <w:tc>
          <w:tcPr>
            <w:tcW w:w="2568"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 w:hAnsi="仿宋"/>
                <w:color w:val="auto"/>
              </w:rPr>
            </w:pPr>
            <w:r>
              <w:rPr>
                <w:rFonts w:hint="eastAsia" w:ascii="仿宋" w:hAnsi="仿宋"/>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color w:val="auto"/>
              </w:rPr>
            </w:pPr>
            <w:r>
              <w:rPr>
                <w:rFonts w:hint="eastAsia" w:ascii="仿宋" w:hAnsi="仿宋"/>
                <w:color w:val="auto"/>
              </w:rPr>
              <w:t>供应商全称</w:t>
            </w:r>
          </w:p>
        </w:tc>
        <w:tc>
          <w:tcPr>
            <w:tcW w:w="7211" w:type="dxa"/>
            <w:gridSpan w:val="3"/>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 w:hAnsi="仿宋"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1754" w:type="dxa"/>
            <w:tcBorders>
              <w:top w:val="single" w:color="auto" w:sz="4" w:space="0"/>
              <w:left w:val="single" w:color="auto" w:sz="4" w:space="0"/>
              <w:bottom w:val="single" w:color="auto" w:sz="4" w:space="0"/>
              <w:right w:val="single" w:color="auto" w:sz="4" w:space="0"/>
            </w:tcBorders>
            <w:vAlign w:val="center"/>
          </w:tcPr>
          <w:p>
            <w:pPr>
              <w:rPr>
                <w:rFonts w:ascii="仿宋" w:hAnsi="仿宋"/>
                <w:color w:val="auto"/>
              </w:rPr>
            </w:pPr>
            <w:r>
              <w:rPr>
                <w:rFonts w:hint="eastAsia" w:ascii="仿宋" w:hAnsi="仿宋"/>
                <w:color w:val="auto"/>
              </w:rPr>
              <w:t>纳税人识别号</w:t>
            </w:r>
          </w:p>
        </w:tc>
        <w:tc>
          <w:tcPr>
            <w:tcW w:w="7211" w:type="dxa"/>
            <w:gridSpan w:val="3"/>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 w:hAnsi="仿宋"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color w:val="auto"/>
              </w:rPr>
            </w:pPr>
            <w:r>
              <w:rPr>
                <w:rFonts w:hint="eastAsia" w:ascii="仿宋" w:hAnsi="仿宋"/>
                <w:color w:val="auto"/>
              </w:rPr>
              <w:t>标书款汇款账号</w:t>
            </w:r>
          </w:p>
        </w:tc>
        <w:tc>
          <w:tcPr>
            <w:tcW w:w="721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color w:val="auto"/>
              </w:rPr>
            </w:pPr>
            <w:r>
              <w:rPr>
                <w:rFonts w:hint="eastAsia" w:ascii="仿宋" w:hAnsi="仿宋"/>
                <w:color w:val="auto"/>
              </w:rPr>
              <w:t>收款单位：新华招标有限公司</w:t>
            </w:r>
          </w:p>
          <w:p>
            <w:pPr>
              <w:rPr>
                <w:rFonts w:ascii="仿宋" w:hAnsi="仿宋"/>
                <w:color w:val="auto"/>
              </w:rPr>
            </w:pPr>
            <w:r>
              <w:rPr>
                <w:rFonts w:hint="eastAsia" w:ascii="仿宋" w:hAnsi="仿宋"/>
                <w:color w:val="auto"/>
              </w:rPr>
              <w:t>开户行：广发银行股份有限公司北京科学园支行</w:t>
            </w:r>
          </w:p>
          <w:p>
            <w:pPr>
              <w:rPr>
                <w:rFonts w:ascii="仿宋" w:hAnsi="仿宋"/>
                <w:color w:val="auto"/>
              </w:rPr>
            </w:pPr>
            <w:r>
              <w:rPr>
                <w:rFonts w:hint="eastAsia" w:ascii="仿宋" w:hAnsi="仿宋"/>
                <w:color w:val="auto"/>
              </w:rPr>
              <w:t>银行账号：6232593799006204401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color w:val="auto"/>
              </w:rPr>
            </w:pPr>
            <w:r>
              <w:rPr>
                <w:rFonts w:hint="eastAsia" w:ascii="仿宋" w:hAnsi="仿宋"/>
                <w:color w:val="auto"/>
              </w:rPr>
              <w:t>联系人（签字）</w:t>
            </w:r>
          </w:p>
        </w:tc>
        <w:tc>
          <w:tcPr>
            <w:tcW w:w="3235"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 w:hAnsi="仿宋" w:cs="宋体"/>
                <w:color w:val="auto"/>
              </w:rPr>
            </w:pPr>
          </w:p>
        </w:tc>
        <w:tc>
          <w:tcPr>
            <w:tcW w:w="14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cs="宋体"/>
                <w:color w:val="auto"/>
              </w:rPr>
            </w:pPr>
            <w:r>
              <w:rPr>
                <w:rFonts w:hint="eastAsia" w:ascii="仿宋" w:hAnsi="仿宋"/>
                <w:color w:val="auto"/>
              </w:rPr>
              <w:t>联系电话</w:t>
            </w:r>
          </w:p>
        </w:tc>
        <w:tc>
          <w:tcPr>
            <w:tcW w:w="2568"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 w:hAnsi="仿宋"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color w:val="auto"/>
              </w:rPr>
            </w:pPr>
            <w:r>
              <w:rPr>
                <w:rFonts w:hint="eastAsia" w:ascii="仿宋" w:hAnsi="仿宋"/>
                <w:color w:val="auto"/>
              </w:rPr>
              <w:t>资料及电子发票接收邮箱</w:t>
            </w:r>
          </w:p>
        </w:tc>
        <w:tc>
          <w:tcPr>
            <w:tcW w:w="3235"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 w:hAnsi="仿宋" w:cs="宋体"/>
                <w:color w:val="auto"/>
              </w:rPr>
            </w:pPr>
          </w:p>
        </w:tc>
        <w:tc>
          <w:tcPr>
            <w:tcW w:w="14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cs="宋体"/>
                <w:color w:val="auto"/>
              </w:rPr>
            </w:pPr>
            <w:r>
              <w:rPr>
                <w:rFonts w:hint="eastAsia" w:ascii="仿宋" w:hAnsi="仿宋" w:cs="宋体"/>
                <w:color w:val="auto"/>
              </w:rPr>
              <w:t>日期</w:t>
            </w:r>
          </w:p>
        </w:tc>
        <w:tc>
          <w:tcPr>
            <w:tcW w:w="2568"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 w:hAnsi="仿宋" w:cs="宋体"/>
                <w:color w:val="auto"/>
              </w:rPr>
            </w:pPr>
          </w:p>
        </w:tc>
      </w:tr>
    </w:tbl>
    <w:p>
      <w:pPr>
        <w:pStyle w:val="24"/>
        <w:rPr>
          <w:rFonts w:ascii="仿宋" w:hAnsi="仿宋"/>
          <w:color w:val="auto"/>
        </w:rPr>
      </w:pPr>
    </w:p>
    <w:p>
      <w:pPr>
        <w:rPr>
          <w:rFonts w:ascii="仿宋" w:hAnsi="仿宋"/>
          <w:color w:val="auto"/>
        </w:rPr>
      </w:pPr>
    </w:p>
    <w:p>
      <w:pPr>
        <w:rPr>
          <w:rFonts w:ascii="仿宋" w:hAnsi="仿宋"/>
          <w:color w:val="auto"/>
        </w:rPr>
      </w:pPr>
    </w:p>
    <w:p>
      <w:pPr>
        <w:rPr>
          <w:rFonts w:ascii="仿宋" w:hAnsi="仿宋"/>
          <w:color w:val="auto"/>
        </w:rPr>
      </w:pPr>
    </w:p>
    <w:p>
      <w:pPr>
        <w:rPr>
          <w:rFonts w:ascii="仿宋" w:hAnsi="仿宋"/>
          <w:color w:val="auto"/>
        </w:rPr>
      </w:pPr>
    </w:p>
    <w:p>
      <w:pPr>
        <w:widowControl/>
        <w:spacing w:line="240" w:lineRule="auto"/>
        <w:jc w:val="left"/>
        <w:rPr>
          <w:rFonts w:ascii="仿宋" w:hAnsi="仿宋"/>
          <w:b/>
          <w:bCs/>
          <w:color w:val="auto"/>
          <w:sz w:val="32"/>
          <w:szCs w:val="32"/>
        </w:rPr>
      </w:pPr>
      <w:r>
        <w:rPr>
          <w:rFonts w:ascii="仿宋" w:hAnsi="仿宋"/>
          <w:color w:val="auto"/>
        </w:rPr>
        <w:br w:type="page"/>
      </w:r>
    </w:p>
    <w:p>
      <w:pPr>
        <w:pStyle w:val="24"/>
        <w:rPr>
          <w:rFonts w:ascii="仿宋" w:hAnsi="仿宋"/>
          <w:color w:val="auto"/>
        </w:rPr>
      </w:pPr>
      <w:r>
        <w:rPr>
          <w:rFonts w:hint="eastAsia" w:ascii="仿宋" w:hAnsi="仿宋"/>
          <w:color w:val="auto"/>
        </w:rPr>
        <w:t>第二章  询比须知</w:t>
      </w:r>
      <w:bookmarkEnd w:id="8"/>
      <w:bookmarkEnd w:id="9"/>
      <w:bookmarkEnd w:id="10"/>
      <w:bookmarkEnd w:id="11"/>
      <w:bookmarkEnd w:id="12"/>
      <w:bookmarkEnd w:id="14"/>
    </w:p>
    <w:p>
      <w:pPr>
        <w:pStyle w:val="3"/>
        <w:keepNext w:val="0"/>
        <w:keepLines w:val="0"/>
        <w:spacing w:line="360" w:lineRule="auto"/>
        <w:jc w:val="center"/>
        <w:rPr>
          <w:rFonts w:ascii="仿宋" w:hAnsi="仿宋" w:eastAsia="仿宋"/>
          <w:color w:val="auto"/>
        </w:rPr>
      </w:pPr>
      <w:r>
        <w:rPr>
          <w:rFonts w:hint="eastAsia" w:ascii="仿宋" w:hAnsi="仿宋" w:eastAsia="仿宋"/>
          <w:color w:val="auto"/>
        </w:rPr>
        <w:t>一、供应商须知前附表</w:t>
      </w:r>
    </w:p>
    <w:tbl>
      <w:tblPr>
        <w:tblStyle w:val="26"/>
        <w:tblW w:w="945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07"/>
        <w:gridCol w:w="2018"/>
        <w:gridCol w:w="6426"/>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 w:hRule="atLeast"/>
          <w:tblHeader/>
          <w:jc w:val="center"/>
        </w:trPr>
        <w:tc>
          <w:tcPr>
            <w:tcW w:w="1007" w:type="dxa"/>
            <w:vAlign w:val="center"/>
          </w:tcPr>
          <w:p>
            <w:pPr>
              <w:pStyle w:val="48"/>
              <w:spacing w:line="360" w:lineRule="auto"/>
              <w:ind w:left="9"/>
              <w:jc w:val="center"/>
              <w:rPr>
                <w:rFonts w:ascii="仿宋" w:hAnsi="仿宋" w:eastAsia="仿宋"/>
                <w:color w:val="auto"/>
                <w:lang w:val="zh-CN"/>
              </w:rPr>
            </w:pPr>
            <w:r>
              <w:rPr>
                <w:rFonts w:hint="eastAsia" w:ascii="仿宋" w:hAnsi="仿宋" w:eastAsia="仿宋"/>
                <w:color w:val="auto"/>
                <w:lang w:val="zh-CN"/>
              </w:rPr>
              <w:t>序号</w:t>
            </w:r>
          </w:p>
        </w:tc>
        <w:tc>
          <w:tcPr>
            <w:tcW w:w="2018" w:type="dxa"/>
            <w:vAlign w:val="center"/>
          </w:tcPr>
          <w:p>
            <w:pPr>
              <w:pStyle w:val="48"/>
              <w:spacing w:line="360" w:lineRule="auto"/>
              <w:ind w:left="38"/>
              <w:jc w:val="center"/>
              <w:rPr>
                <w:rFonts w:ascii="仿宋" w:hAnsi="仿宋" w:eastAsia="仿宋"/>
                <w:color w:val="auto"/>
                <w:lang w:val="zh-CN"/>
              </w:rPr>
            </w:pPr>
            <w:r>
              <w:rPr>
                <w:rFonts w:hint="eastAsia" w:ascii="仿宋" w:hAnsi="仿宋" w:eastAsia="仿宋"/>
                <w:color w:val="auto"/>
                <w:lang w:val="zh-CN"/>
              </w:rPr>
              <w:t>应知事项</w:t>
            </w:r>
          </w:p>
        </w:tc>
        <w:tc>
          <w:tcPr>
            <w:tcW w:w="6426" w:type="dxa"/>
            <w:vAlign w:val="center"/>
          </w:tcPr>
          <w:p>
            <w:pPr>
              <w:pStyle w:val="48"/>
              <w:spacing w:line="360" w:lineRule="auto"/>
              <w:jc w:val="center"/>
              <w:rPr>
                <w:rFonts w:ascii="仿宋" w:hAnsi="仿宋" w:eastAsia="仿宋"/>
                <w:color w:val="auto"/>
                <w:lang w:val="zh-CN"/>
              </w:rPr>
            </w:pPr>
            <w:r>
              <w:rPr>
                <w:rFonts w:hint="eastAsia" w:ascii="仿宋" w:hAnsi="仿宋" w:eastAsia="仿宋"/>
                <w:color w:val="auto"/>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 w:hRule="atLeast"/>
          <w:jc w:val="center"/>
        </w:trPr>
        <w:tc>
          <w:tcPr>
            <w:tcW w:w="1007" w:type="dxa"/>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1</w:t>
            </w:r>
          </w:p>
        </w:tc>
        <w:tc>
          <w:tcPr>
            <w:tcW w:w="2018" w:type="dxa"/>
            <w:vAlign w:val="center"/>
          </w:tcPr>
          <w:p>
            <w:pPr>
              <w:pStyle w:val="48"/>
              <w:spacing w:line="360" w:lineRule="auto"/>
              <w:ind w:left="38"/>
              <w:jc w:val="center"/>
              <w:rPr>
                <w:rFonts w:ascii="仿宋" w:hAnsi="仿宋" w:eastAsia="仿宋"/>
                <w:color w:val="auto"/>
                <w:lang w:val="zh-CN"/>
              </w:rPr>
            </w:pPr>
            <w:r>
              <w:rPr>
                <w:rFonts w:hint="eastAsia" w:ascii="仿宋" w:hAnsi="仿宋" w:eastAsia="仿宋"/>
                <w:color w:val="auto"/>
                <w:lang w:val="zh-CN"/>
              </w:rPr>
              <w:t>评审办法</w:t>
            </w:r>
          </w:p>
        </w:tc>
        <w:tc>
          <w:tcPr>
            <w:tcW w:w="6426" w:type="dxa"/>
          </w:tcPr>
          <w:p>
            <w:pPr>
              <w:pStyle w:val="48"/>
              <w:spacing w:line="360" w:lineRule="auto"/>
              <w:ind w:firstLine="232" w:firstLineChars="100"/>
              <w:jc w:val="both"/>
              <w:rPr>
                <w:rFonts w:ascii="仿宋" w:hAnsi="仿宋" w:eastAsia="仿宋"/>
                <w:color w:val="auto"/>
                <w:lang w:val="zh-CN"/>
              </w:rPr>
            </w:pPr>
            <w:r>
              <w:rPr>
                <w:rFonts w:hint="eastAsia" w:ascii="仿宋" w:hAnsi="仿宋" w:eastAsia="仿宋"/>
                <w:color w:val="auto"/>
                <w:spacing w:val="-4"/>
              </w:rPr>
              <w:t>详见询比邀请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 w:hRule="atLeast"/>
          <w:jc w:val="center"/>
        </w:trPr>
        <w:tc>
          <w:tcPr>
            <w:tcW w:w="1007" w:type="dxa"/>
            <w:vMerge w:val="restart"/>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2</w:t>
            </w:r>
          </w:p>
        </w:tc>
        <w:tc>
          <w:tcPr>
            <w:tcW w:w="2018" w:type="dxa"/>
            <w:vAlign w:val="center"/>
          </w:tcPr>
          <w:p>
            <w:pPr>
              <w:pStyle w:val="48"/>
              <w:spacing w:line="360" w:lineRule="auto"/>
              <w:ind w:left="38"/>
              <w:jc w:val="center"/>
              <w:rPr>
                <w:rFonts w:ascii="仿宋" w:hAnsi="仿宋" w:eastAsia="仿宋"/>
                <w:color w:val="auto"/>
                <w:lang w:val="zh-CN"/>
              </w:rPr>
            </w:pPr>
            <w:r>
              <w:rPr>
                <w:rFonts w:hint="eastAsia" w:ascii="仿宋" w:hAnsi="仿宋" w:eastAsia="仿宋"/>
                <w:color w:val="auto"/>
                <w:lang w:val="zh-CN"/>
              </w:rPr>
              <w:t>采购预算</w:t>
            </w:r>
          </w:p>
          <w:p>
            <w:pPr>
              <w:pStyle w:val="48"/>
              <w:spacing w:line="360" w:lineRule="auto"/>
              <w:ind w:left="38"/>
              <w:jc w:val="center"/>
              <w:rPr>
                <w:rFonts w:ascii="仿宋" w:hAnsi="仿宋" w:eastAsia="仿宋"/>
                <w:b/>
                <w:color w:val="auto"/>
                <w:lang w:val="zh-CN"/>
              </w:rPr>
            </w:pPr>
            <w:r>
              <w:rPr>
                <w:rFonts w:hint="eastAsia" w:ascii="仿宋" w:hAnsi="仿宋" w:eastAsia="仿宋"/>
                <w:b/>
                <w:color w:val="auto"/>
                <w:lang w:val="zh-CN"/>
              </w:rPr>
              <w:t>（实质性要求）</w:t>
            </w:r>
          </w:p>
        </w:tc>
        <w:tc>
          <w:tcPr>
            <w:tcW w:w="6426" w:type="dxa"/>
            <w:vAlign w:val="center"/>
          </w:tcPr>
          <w:p>
            <w:pPr>
              <w:pStyle w:val="48"/>
              <w:spacing w:line="360" w:lineRule="auto"/>
              <w:ind w:firstLine="240" w:firstLineChars="100"/>
              <w:jc w:val="both"/>
              <w:rPr>
                <w:rFonts w:ascii="仿宋" w:hAnsi="仿宋" w:eastAsia="仿宋"/>
                <w:color w:val="auto"/>
                <w:lang w:val="zh-CN"/>
              </w:rPr>
            </w:pPr>
            <w:r>
              <w:rPr>
                <w:rFonts w:ascii="仿宋" w:hAnsi="仿宋" w:eastAsia="仿宋"/>
                <w:color w:val="auto"/>
                <w:lang w:val="zh-CN"/>
              </w:rPr>
              <w:t>本项目</w:t>
            </w:r>
            <w:r>
              <w:rPr>
                <w:rFonts w:hint="eastAsia" w:ascii="仿宋" w:hAnsi="仿宋" w:eastAsia="仿宋"/>
                <w:color w:val="auto"/>
                <w:lang w:val="zh-CN"/>
              </w:rPr>
              <w:t>采购预算</w:t>
            </w:r>
            <w:r>
              <w:rPr>
                <w:rFonts w:ascii="仿宋" w:hAnsi="仿宋" w:eastAsia="仿宋"/>
                <w:color w:val="auto"/>
                <w:lang w:val="zh-CN"/>
              </w:rPr>
              <w:t>为</w:t>
            </w:r>
            <w:r>
              <w:rPr>
                <w:rFonts w:hint="eastAsia" w:ascii="仿宋" w:hAnsi="仿宋" w:eastAsia="仿宋"/>
                <w:color w:val="auto"/>
                <w:lang w:val="zh-CN"/>
              </w:rPr>
              <w:t>：</w:t>
            </w:r>
            <w:r>
              <w:rPr>
                <w:rFonts w:hint="eastAsia" w:ascii="仿宋" w:hAnsi="仿宋" w:eastAsia="仿宋"/>
                <w:color w:val="auto"/>
                <w:spacing w:val="-4"/>
              </w:rPr>
              <w:t>详见询比邀请</w:t>
            </w:r>
            <w:r>
              <w:rPr>
                <w:rFonts w:hint="eastAsia" w:ascii="仿宋" w:hAnsi="仿宋" w:eastAsia="仿宋"/>
                <w:color w:val="auto"/>
                <w:lang w:val="zh-CN"/>
              </w:rPr>
              <w:t>；</w:t>
            </w:r>
          </w:p>
          <w:p>
            <w:pPr>
              <w:pStyle w:val="48"/>
              <w:spacing w:line="360" w:lineRule="auto"/>
              <w:ind w:firstLine="240" w:firstLineChars="100"/>
              <w:jc w:val="both"/>
              <w:rPr>
                <w:rFonts w:ascii="仿宋" w:hAnsi="仿宋" w:eastAsia="仿宋"/>
                <w:color w:val="auto"/>
                <w:lang w:val="zh-CN"/>
              </w:rPr>
            </w:pPr>
            <w:r>
              <w:rPr>
                <w:rFonts w:hint="eastAsia" w:ascii="仿宋" w:hAnsi="仿宋" w:eastAsia="仿宋"/>
                <w:color w:val="auto"/>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 w:hRule="atLeast"/>
          <w:jc w:val="center"/>
        </w:trPr>
        <w:tc>
          <w:tcPr>
            <w:tcW w:w="1007" w:type="dxa"/>
            <w:vMerge w:val="continue"/>
            <w:vAlign w:val="center"/>
          </w:tcPr>
          <w:p>
            <w:pPr>
              <w:pStyle w:val="48"/>
              <w:spacing w:line="360" w:lineRule="auto"/>
              <w:ind w:right="230"/>
              <w:jc w:val="center"/>
              <w:rPr>
                <w:rFonts w:ascii="仿宋" w:hAnsi="仿宋" w:eastAsia="仿宋" w:cs="Courier New"/>
                <w:color w:val="auto"/>
                <w:lang w:val="zh-CN"/>
              </w:rPr>
            </w:pPr>
          </w:p>
        </w:tc>
        <w:tc>
          <w:tcPr>
            <w:tcW w:w="2018" w:type="dxa"/>
            <w:vAlign w:val="center"/>
          </w:tcPr>
          <w:p>
            <w:pPr>
              <w:pStyle w:val="48"/>
              <w:spacing w:line="360" w:lineRule="auto"/>
              <w:ind w:left="38"/>
              <w:jc w:val="center"/>
              <w:rPr>
                <w:rFonts w:ascii="仿宋" w:hAnsi="仿宋" w:eastAsia="仿宋"/>
                <w:color w:val="auto"/>
                <w:lang w:val="zh-CN"/>
              </w:rPr>
            </w:pPr>
            <w:r>
              <w:rPr>
                <w:rFonts w:hint="eastAsia" w:ascii="仿宋" w:hAnsi="仿宋" w:eastAsia="仿宋"/>
                <w:color w:val="auto"/>
                <w:lang w:val="zh-CN"/>
              </w:rPr>
              <w:t>最高限价</w:t>
            </w:r>
          </w:p>
          <w:p>
            <w:pPr>
              <w:pStyle w:val="48"/>
              <w:spacing w:line="360" w:lineRule="auto"/>
              <w:ind w:left="38"/>
              <w:jc w:val="center"/>
              <w:rPr>
                <w:rFonts w:ascii="仿宋" w:hAnsi="仿宋" w:eastAsia="仿宋"/>
                <w:b/>
                <w:color w:val="auto"/>
                <w:lang w:val="zh-CN"/>
              </w:rPr>
            </w:pPr>
            <w:r>
              <w:rPr>
                <w:rFonts w:hint="eastAsia" w:ascii="仿宋" w:hAnsi="仿宋" w:eastAsia="仿宋"/>
                <w:b/>
                <w:color w:val="auto"/>
                <w:lang w:val="zh-CN"/>
              </w:rPr>
              <w:t>（实质性要求）</w:t>
            </w:r>
          </w:p>
        </w:tc>
        <w:tc>
          <w:tcPr>
            <w:tcW w:w="6426" w:type="dxa"/>
            <w:vAlign w:val="center"/>
          </w:tcPr>
          <w:p>
            <w:pPr>
              <w:pStyle w:val="48"/>
              <w:spacing w:line="360" w:lineRule="auto"/>
              <w:ind w:firstLine="240" w:firstLineChars="100"/>
              <w:jc w:val="both"/>
              <w:rPr>
                <w:rFonts w:ascii="仿宋" w:hAnsi="仿宋" w:eastAsia="仿宋"/>
                <w:color w:val="auto"/>
                <w:lang w:val="zh-CN"/>
              </w:rPr>
            </w:pPr>
            <w:r>
              <w:rPr>
                <w:rFonts w:ascii="仿宋" w:hAnsi="仿宋" w:eastAsia="仿宋"/>
                <w:color w:val="auto"/>
                <w:lang w:val="zh-CN"/>
              </w:rPr>
              <w:t>本项目最高限价为</w:t>
            </w:r>
            <w:r>
              <w:rPr>
                <w:rFonts w:hint="eastAsia" w:ascii="仿宋" w:hAnsi="仿宋" w:eastAsia="仿宋"/>
                <w:color w:val="auto"/>
                <w:lang w:val="zh-CN"/>
              </w:rPr>
              <w:t>：</w:t>
            </w:r>
            <w:r>
              <w:rPr>
                <w:rFonts w:hint="eastAsia" w:ascii="仿宋" w:hAnsi="仿宋" w:eastAsia="仿宋"/>
                <w:color w:val="auto"/>
                <w:spacing w:val="-4"/>
              </w:rPr>
              <w:t>详见询比邀请</w:t>
            </w:r>
            <w:r>
              <w:rPr>
                <w:rFonts w:hint="eastAsia" w:ascii="仿宋" w:hAnsi="仿宋" w:eastAsia="仿宋"/>
                <w:color w:val="auto"/>
                <w:lang w:val="zh-CN"/>
              </w:rPr>
              <w:t>；</w:t>
            </w:r>
          </w:p>
          <w:p>
            <w:pPr>
              <w:pStyle w:val="48"/>
              <w:spacing w:line="360" w:lineRule="auto"/>
              <w:ind w:firstLine="240" w:firstLineChars="100"/>
              <w:jc w:val="both"/>
              <w:rPr>
                <w:rFonts w:ascii="仿宋" w:hAnsi="仿宋" w:eastAsia="仿宋"/>
                <w:color w:val="auto"/>
                <w:lang w:val="zh-CN"/>
              </w:rPr>
            </w:pPr>
            <w:r>
              <w:rPr>
                <w:rFonts w:hint="eastAsia" w:ascii="仿宋" w:hAnsi="仿宋" w:eastAsia="仿宋"/>
                <w:color w:val="auto"/>
                <w:lang w:val="zh-CN"/>
              </w:rPr>
              <w:t>超过采购最高限价的报价,其响应文件按无效处理。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 w:hRule="atLeast"/>
          <w:jc w:val="center"/>
        </w:trPr>
        <w:tc>
          <w:tcPr>
            <w:tcW w:w="1007" w:type="dxa"/>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3</w:t>
            </w:r>
          </w:p>
        </w:tc>
        <w:tc>
          <w:tcPr>
            <w:tcW w:w="2018" w:type="dxa"/>
            <w:vAlign w:val="center"/>
          </w:tcPr>
          <w:p>
            <w:pPr>
              <w:pStyle w:val="48"/>
              <w:spacing w:line="360" w:lineRule="auto"/>
              <w:ind w:left="38"/>
              <w:jc w:val="center"/>
              <w:rPr>
                <w:rFonts w:ascii="仿宋" w:hAnsi="仿宋" w:eastAsia="仿宋"/>
                <w:color w:val="auto"/>
                <w:lang w:val="zh-CN"/>
              </w:rPr>
            </w:pPr>
            <w:r>
              <w:rPr>
                <w:rFonts w:hint="eastAsia" w:ascii="仿宋" w:hAnsi="仿宋" w:eastAsia="仿宋"/>
                <w:color w:val="auto"/>
                <w:lang w:val="zh-CN"/>
              </w:rPr>
              <w:t>低于成本价</w:t>
            </w:r>
          </w:p>
          <w:p>
            <w:pPr>
              <w:pStyle w:val="48"/>
              <w:spacing w:line="360" w:lineRule="auto"/>
              <w:ind w:left="38"/>
              <w:jc w:val="center"/>
              <w:rPr>
                <w:rFonts w:ascii="仿宋" w:hAnsi="仿宋" w:eastAsia="仿宋"/>
                <w:color w:val="auto"/>
                <w:lang w:val="zh-CN"/>
              </w:rPr>
            </w:pPr>
            <w:r>
              <w:rPr>
                <w:rFonts w:hint="eastAsia" w:ascii="仿宋" w:hAnsi="仿宋" w:eastAsia="仿宋"/>
                <w:color w:val="auto"/>
                <w:lang w:val="zh-CN"/>
              </w:rPr>
              <w:t>不正当竞争预防措施</w:t>
            </w:r>
          </w:p>
          <w:p>
            <w:pPr>
              <w:pStyle w:val="48"/>
              <w:spacing w:line="360" w:lineRule="auto"/>
              <w:ind w:left="38"/>
              <w:jc w:val="center"/>
              <w:rPr>
                <w:rFonts w:ascii="仿宋" w:hAnsi="仿宋" w:eastAsia="仿宋"/>
                <w:b/>
                <w:color w:val="auto"/>
                <w:lang w:val="zh-CN"/>
              </w:rPr>
            </w:pPr>
            <w:r>
              <w:rPr>
                <w:rFonts w:hint="eastAsia" w:ascii="仿宋" w:hAnsi="仿宋" w:eastAsia="仿宋"/>
                <w:b/>
                <w:color w:val="auto"/>
                <w:lang w:val="zh-CN"/>
              </w:rPr>
              <w:t>（实质性要求）</w:t>
            </w:r>
          </w:p>
        </w:tc>
        <w:tc>
          <w:tcPr>
            <w:tcW w:w="6426" w:type="dxa"/>
          </w:tcPr>
          <w:p>
            <w:pPr>
              <w:pStyle w:val="48"/>
              <w:spacing w:line="360" w:lineRule="auto"/>
              <w:ind w:left="38"/>
              <w:rPr>
                <w:rFonts w:ascii="仿宋" w:hAnsi="仿宋" w:eastAsia="仿宋"/>
                <w:color w:val="auto"/>
                <w:lang w:val="zh-CN"/>
              </w:rPr>
            </w:pPr>
            <w:r>
              <w:rPr>
                <w:rFonts w:ascii="仿宋" w:hAnsi="仿宋" w:eastAsia="仿宋"/>
                <w:color w:val="auto"/>
                <w:lang w:val="zh-CN"/>
              </w:rPr>
              <w:t>1.</w:t>
            </w:r>
            <w:r>
              <w:rPr>
                <w:rFonts w:hint="eastAsia" w:ascii="仿宋" w:hAnsi="仿宋" w:eastAsia="仿宋"/>
                <w:color w:val="auto"/>
                <w:lang w:val="zh-CN"/>
              </w:rPr>
              <w:t>评审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评审小组应当将其作为无效响应（供应商的书面说明材料应当按照国家财务会计制度的规定要求，逐项就供应商提供的货物、工程和服务的主营业务成本、税金及附加、销售费用、管理费用、财务费用等成本构成事项详细陈述）。</w:t>
            </w:r>
          </w:p>
          <w:p>
            <w:pPr>
              <w:pStyle w:val="48"/>
              <w:spacing w:line="360" w:lineRule="auto"/>
              <w:ind w:left="38"/>
              <w:rPr>
                <w:rFonts w:ascii="仿宋" w:hAnsi="仿宋" w:eastAsia="仿宋"/>
                <w:color w:val="auto"/>
                <w:lang w:val="zh-CN"/>
              </w:rPr>
            </w:pPr>
            <w:r>
              <w:rPr>
                <w:rFonts w:ascii="仿宋" w:hAnsi="仿宋" w:eastAsia="仿宋"/>
                <w:color w:val="auto"/>
                <w:lang w:val="zh-CN"/>
              </w:rPr>
              <w:t>2.</w:t>
            </w:r>
            <w:r>
              <w:rPr>
                <w:rFonts w:hint="eastAsia" w:ascii="仿宋" w:hAnsi="仿宋" w:eastAsia="仿宋"/>
                <w:color w:val="auto"/>
                <w:lang w:val="zh-CN"/>
              </w:rPr>
              <w:t>供应商书面说明应当签字确认或者加盖公章，否则无效。书面说明的签字确认，由其法定代表人/单位负责人</w:t>
            </w:r>
            <w:r>
              <w:rPr>
                <w:rFonts w:ascii="仿宋" w:hAnsi="仿宋" w:eastAsia="仿宋"/>
                <w:color w:val="auto"/>
                <w:lang w:val="zh-CN"/>
              </w:rPr>
              <w:t>/</w:t>
            </w:r>
            <w:r>
              <w:rPr>
                <w:rFonts w:hint="eastAsia" w:ascii="仿宋" w:hAnsi="仿宋" w:eastAsia="仿宋"/>
                <w:color w:val="auto"/>
                <w:lang w:val="zh-CN"/>
              </w:rPr>
              <w:t>本人或者其授权代表签字确认。</w:t>
            </w:r>
          </w:p>
          <w:p>
            <w:pPr>
              <w:pStyle w:val="48"/>
              <w:spacing w:line="360" w:lineRule="auto"/>
              <w:ind w:left="38"/>
              <w:rPr>
                <w:rFonts w:ascii="仿宋" w:hAnsi="仿宋" w:eastAsia="仿宋"/>
                <w:color w:val="auto"/>
                <w:lang w:val="zh-CN"/>
              </w:rPr>
            </w:pPr>
            <w:r>
              <w:rPr>
                <w:rFonts w:ascii="仿宋" w:hAnsi="仿宋" w:eastAsia="仿宋"/>
                <w:color w:val="auto"/>
                <w:lang w:val="zh-CN"/>
              </w:rPr>
              <w:t>3.</w:t>
            </w:r>
            <w:r>
              <w:rPr>
                <w:rFonts w:hint="eastAsia" w:ascii="仿宋" w:hAnsi="仿宋" w:eastAsia="仿宋"/>
                <w:color w:val="auto"/>
                <w:lang w:val="zh-CN"/>
              </w:rPr>
              <w:t>供应商提供书面说明后，评审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评审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 w:hRule="atLeast"/>
          <w:jc w:val="center"/>
        </w:trPr>
        <w:tc>
          <w:tcPr>
            <w:tcW w:w="1007" w:type="dxa"/>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4</w:t>
            </w:r>
          </w:p>
        </w:tc>
        <w:tc>
          <w:tcPr>
            <w:tcW w:w="2018" w:type="dxa"/>
            <w:vAlign w:val="center"/>
          </w:tcPr>
          <w:p>
            <w:pPr>
              <w:pStyle w:val="48"/>
              <w:spacing w:line="360" w:lineRule="auto"/>
              <w:ind w:left="38"/>
              <w:jc w:val="center"/>
              <w:rPr>
                <w:rFonts w:ascii="仿宋" w:hAnsi="仿宋" w:eastAsia="仿宋"/>
                <w:color w:val="auto"/>
                <w:lang w:val="zh-CN"/>
              </w:rPr>
            </w:pPr>
            <w:r>
              <w:rPr>
                <w:rFonts w:hint="eastAsia" w:ascii="仿宋" w:hAnsi="仿宋" w:eastAsia="仿宋"/>
                <w:color w:val="auto"/>
                <w:lang w:val="zh-CN"/>
              </w:rPr>
              <w:t>成交公告</w:t>
            </w:r>
          </w:p>
        </w:tc>
        <w:tc>
          <w:tcPr>
            <w:tcW w:w="6426" w:type="dxa"/>
            <w:vAlign w:val="center"/>
          </w:tcPr>
          <w:p>
            <w:pPr>
              <w:pStyle w:val="48"/>
              <w:spacing w:line="360" w:lineRule="auto"/>
              <w:ind w:left="38"/>
              <w:rPr>
                <w:rFonts w:ascii="仿宋" w:hAnsi="仿宋" w:eastAsia="仿宋"/>
                <w:color w:val="auto"/>
              </w:rPr>
            </w:pPr>
            <w:r>
              <w:rPr>
                <w:rFonts w:hint="eastAsia" w:ascii="仿宋" w:hAnsi="仿宋" w:eastAsia="仿宋"/>
                <w:color w:val="auto"/>
              </w:rPr>
              <w:t>采用公告邀请方式的采购项目，在中国工程物理研究院招投标信息网上发布成交公告。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 w:hRule="atLeast"/>
          <w:jc w:val="center"/>
        </w:trPr>
        <w:tc>
          <w:tcPr>
            <w:tcW w:w="1007" w:type="dxa"/>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5</w:t>
            </w:r>
          </w:p>
        </w:tc>
        <w:tc>
          <w:tcPr>
            <w:tcW w:w="2018" w:type="dxa"/>
            <w:vAlign w:val="center"/>
          </w:tcPr>
          <w:p>
            <w:pPr>
              <w:pStyle w:val="48"/>
              <w:spacing w:line="360" w:lineRule="auto"/>
              <w:ind w:left="38"/>
              <w:jc w:val="center"/>
              <w:rPr>
                <w:rFonts w:ascii="仿宋" w:hAnsi="仿宋" w:eastAsia="仿宋"/>
                <w:color w:val="auto"/>
                <w:lang w:val="zh-CN"/>
              </w:rPr>
            </w:pPr>
            <w:r>
              <w:rPr>
                <w:rFonts w:hint="eastAsia" w:ascii="仿宋" w:hAnsi="仿宋" w:eastAsia="仿宋"/>
                <w:color w:val="auto"/>
                <w:lang w:val="zh-CN"/>
              </w:rPr>
              <w:t>询比保证金</w:t>
            </w:r>
          </w:p>
        </w:tc>
        <w:tc>
          <w:tcPr>
            <w:tcW w:w="6426" w:type="dxa"/>
            <w:vAlign w:val="center"/>
          </w:tcPr>
          <w:p>
            <w:pPr>
              <w:pStyle w:val="48"/>
              <w:spacing w:line="360" w:lineRule="auto"/>
              <w:jc w:val="both"/>
              <w:rPr>
                <w:rFonts w:ascii="仿宋" w:hAnsi="仿宋" w:eastAsia="仿宋"/>
                <w:b/>
                <w:color w:val="auto"/>
                <w:lang w:val="zh-CN"/>
              </w:rPr>
            </w:pPr>
            <w:r>
              <w:rPr>
                <w:rFonts w:hint="eastAsia" w:ascii="仿宋" w:hAnsi="仿宋" w:eastAsia="仿宋" w:cs="Times New Roman"/>
                <w:color w:val="auto"/>
                <w:kern w:val="2"/>
              </w:rPr>
              <w:t>本项目无需缴纳询比保证金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 w:hRule="atLeast"/>
          <w:jc w:val="center"/>
        </w:trPr>
        <w:tc>
          <w:tcPr>
            <w:tcW w:w="1007" w:type="dxa"/>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6</w:t>
            </w:r>
          </w:p>
        </w:tc>
        <w:tc>
          <w:tcPr>
            <w:tcW w:w="2018" w:type="dxa"/>
            <w:vAlign w:val="center"/>
          </w:tcPr>
          <w:p>
            <w:pPr>
              <w:pStyle w:val="48"/>
              <w:spacing w:line="360" w:lineRule="auto"/>
              <w:ind w:left="38"/>
              <w:jc w:val="center"/>
              <w:rPr>
                <w:rFonts w:ascii="仿宋" w:hAnsi="仿宋" w:eastAsia="仿宋"/>
                <w:color w:val="auto"/>
                <w:lang w:val="zh-CN"/>
              </w:rPr>
            </w:pPr>
            <w:r>
              <w:rPr>
                <w:rFonts w:hint="eastAsia" w:ascii="仿宋" w:hAnsi="仿宋" w:eastAsia="仿宋"/>
                <w:color w:val="auto"/>
                <w:lang w:val="zh-CN"/>
              </w:rPr>
              <w:t>履约保证金</w:t>
            </w:r>
          </w:p>
          <w:p>
            <w:pPr>
              <w:pStyle w:val="48"/>
              <w:spacing w:line="360" w:lineRule="auto"/>
              <w:ind w:left="38"/>
              <w:jc w:val="center"/>
              <w:rPr>
                <w:rFonts w:ascii="仿宋" w:hAnsi="仿宋" w:eastAsia="仿宋"/>
                <w:b/>
                <w:color w:val="auto"/>
                <w:lang w:val="zh-CN"/>
              </w:rPr>
            </w:pPr>
            <w:r>
              <w:rPr>
                <w:rFonts w:hint="eastAsia" w:ascii="仿宋" w:hAnsi="仿宋" w:eastAsia="仿宋"/>
                <w:b/>
                <w:color w:val="auto"/>
                <w:lang w:val="zh-CN"/>
              </w:rPr>
              <w:t>（实质性要求）</w:t>
            </w:r>
          </w:p>
        </w:tc>
        <w:tc>
          <w:tcPr>
            <w:tcW w:w="6426" w:type="dxa"/>
            <w:vAlign w:val="center"/>
          </w:tcPr>
          <w:p>
            <w:pPr>
              <w:pStyle w:val="48"/>
              <w:spacing w:before="156" w:after="156" w:line="360" w:lineRule="auto"/>
              <w:ind w:left="74" w:leftChars="31"/>
              <w:jc w:val="both"/>
              <w:rPr>
                <w:rFonts w:ascii="仿宋" w:hAnsi="仿宋" w:eastAsia="仿宋"/>
                <w:color w:val="auto"/>
              </w:rPr>
            </w:pPr>
            <w:bookmarkStart w:id="15" w:name="PO_默认文件内容_18"/>
            <w:r>
              <w:rPr>
                <w:rFonts w:hint="eastAsia" w:ascii="MS Mincho" w:hAnsi="MS Mincho" w:eastAsia="MS Mincho" w:cs="MS Mincho"/>
                <w:bCs/>
                <w:color w:val="auto"/>
              </w:rPr>
              <w:t>☑</w:t>
            </w:r>
            <w:r>
              <w:rPr>
                <w:rFonts w:hint="eastAsia" w:ascii="仿宋" w:hAnsi="仿宋" w:eastAsia="仿宋" w:cs="Times New Roman"/>
                <w:color w:val="auto"/>
                <w:kern w:val="2"/>
              </w:rPr>
              <w:t>本项目无需缴纳履约保证金</w:t>
            </w:r>
          </w:p>
          <w:p>
            <w:pPr>
              <w:pStyle w:val="48"/>
              <w:spacing w:before="156" w:after="156" w:line="360" w:lineRule="auto"/>
              <w:ind w:left="74" w:leftChars="31"/>
              <w:jc w:val="both"/>
              <w:rPr>
                <w:rFonts w:ascii="仿宋" w:hAnsi="仿宋" w:eastAsia="仿宋"/>
                <w:color w:val="auto"/>
              </w:rPr>
            </w:pPr>
            <w:r>
              <w:rPr>
                <w:rFonts w:hint="eastAsia" w:ascii="仿宋" w:hAnsi="仿宋" w:eastAsia="仿宋"/>
                <w:bCs/>
                <w:color w:val="auto"/>
              </w:rPr>
              <w:t>□</w:t>
            </w:r>
            <w:r>
              <w:rPr>
                <w:rFonts w:hint="eastAsia" w:ascii="仿宋" w:hAnsi="仿宋" w:eastAsia="仿宋"/>
                <w:color w:val="auto"/>
              </w:rPr>
              <w:t>本项目履约保证金</w:t>
            </w:r>
            <w:r>
              <w:rPr>
                <w:rFonts w:hint="eastAsia" w:ascii="仿宋" w:hAnsi="仿宋" w:eastAsia="仿宋"/>
                <w:color w:val="auto"/>
                <w:lang w:val="zh-CN"/>
              </w:rPr>
              <w:t>金额：成交金额的</w:t>
            </w:r>
            <w:r>
              <w:rPr>
                <w:rFonts w:ascii="仿宋" w:hAnsi="仿宋" w:eastAsia="仿宋"/>
                <w:color w:val="auto"/>
                <w:lang w:val="zh-CN"/>
              </w:rPr>
              <w:t xml:space="preserve">  </w:t>
            </w:r>
            <w:r>
              <w:rPr>
                <w:rFonts w:hint="eastAsia" w:ascii="仿宋" w:hAnsi="仿宋" w:eastAsia="仿宋"/>
                <w:color w:val="auto"/>
                <w:lang w:val="zh-CN"/>
              </w:rPr>
              <w:t>%。</w:t>
            </w:r>
          </w:p>
          <w:p>
            <w:pPr>
              <w:pStyle w:val="48"/>
              <w:spacing w:before="156" w:after="156" w:line="360" w:lineRule="auto"/>
              <w:ind w:firstLine="240" w:firstLineChars="100"/>
              <w:jc w:val="both"/>
              <w:rPr>
                <w:rFonts w:ascii="仿宋" w:hAnsi="仿宋" w:eastAsia="仿宋"/>
                <w:color w:val="auto"/>
                <w:lang w:val="zh-CN"/>
              </w:rPr>
            </w:pPr>
            <w:r>
              <w:rPr>
                <w:rFonts w:hint="eastAsia" w:ascii="仿宋" w:hAnsi="仿宋" w:eastAsia="仿宋"/>
                <w:color w:val="auto"/>
                <w:lang w:val="zh-CN"/>
              </w:rPr>
              <w:t>交款方式：履约保证金可以以支票、汇票、本票或者金融机构出具的保函等非现金形式提交（包括网银转账，电汇等方式）。</w:t>
            </w:r>
          </w:p>
          <w:p>
            <w:pPr>
              <w:pStyle w:val="48"/>
              <w:spacing w:before="156" w:after="156" w:line="360" w:lineRule="auto"/>
              <w:ind w:firstLine="240" w:firstLineChars="100"/>
              <w:jc w:val="both"/>
              <w:rPr>
                <w:rFonts w:ascii="仿宋" w:hAnsi="仿宋" w:eastAsia="仿宋"/>
                <w:color w:val="auto"/>
                <w:lang w:val="zh-CN"/>
              </w:rPr>
            </w:pPr>
            <w:r>
              <w:rPr>
                <w:rFonts w:hint="eastAsia" w:ascii="仿宋" w:hAnsi="仿宋" w:eastAsia="仿宋"/>
                <w:color w:val="auto"/>
                <w:lang w:val="zh-CN"/>
              </w:rPr>
              <w:t>收款单位：待成交后采购人提供。</w:t>
            </w:r>
          </w:p>
          <w:p>
            <w:pPr>
              <w:pStyle w:val="48"/>
              <w:spacing w:before="156" w:after="156" w:line="360" w:lineRule="auto"/>
              <w:ind w:firstLine="240" w:firstLineChars="100"/>
              <w:jc w:val="both"/>
              <w:rPr>
                <w:rFonts w:ascii="仿宋" w:hAnsi="仿宋" w:eastAsia="仿宋"/>
                <w:color w:val="auto"/>
                <w:lang w:val="zh-CN"/>
              </w:rPr>
            </w:pPr>
            <w:r>
              <w:rPr>
                <w:rFonts w:hint="eastAsia" w:ascii="仿宋" w:hAnsi="仿宋" w:eastAsia="仿宋"/>
                <w:color w:val="auto"/>
                <w:lang w:val="zh-CN"/>
              </w:rPr>
              <w:t>开 户 行：待成交后采购人提供。</w:t>
            </w:r>
          </w:p>
          <w:p>
            <w:pPr>
              <w:pStyle w:val="48"/>
              <w:spacing w:before="156" w:after="156" w:line="360" w:lineRule="auto"/>
              <w:ind w:firstLine="240" w:firstLineChars="100"/>
              <w:jc w:val="both"/>
              <w:rPr>
                <w:rFonts w:ascii="仿宋" w:hAnsi="仿宋" w:eastAsia="仿宋"/>
                <w:color w:val="auto"/>
                <w:lang w:val="zh-CN"/>
              </w:rPr>
            </w:pPr>
            <w:r>
              <w:rPr>
                <w:rFonts w:hint="eastAsia" w:ascii="仿宋" w:hAnsi="仿宋" w:eastAsia="仿宋"/>
                <w:color w:val="auto"/>
                <w:lang w:val="zh-CN"/>
              </w:rPr>
              <w:t>银行账号：待成交后采购人提供。</w:t>
            </w:r>
          </w:p>
          <w:p>
            <w:pPr>
              <w:pStyle w:val="48"/>
              <w:spacing w:line="360" w:lineRule="auto"/>
              <w:ind w:firstLine="240" w:firstLineChars="100"/>
              <w:jc w:val="both"/>
              <w:rPr>
                <w:rFonts w:ascii="仿宋" w:hAnsi="仿宋" w:eastAsia="仿宋"/>
                <w:color w:val="auto"/>
                <w:lang w:val="zh-CN"/>
              </w:rPr>
            </w:pPr>
            <w:r>
              <w:rPr>
                <w:rFonts w:hint="eastAsia" w:ascii="仿宋" w:hAnsi="仿宋" w:eastAsia="仿宋"/>
                <w:color w:val="auto"/>
                <w:lang w:val="zh-CN"/>
              </w:rPr>
              <w:t>交款时间：成交通知书发放后，采购合同签订前。</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7" w:hRule="atLeast"/>
          <w:jc w:val="center"/>
        </w:trPr>
        <w:tc>
          <w:tcPr>
            <w:tcW w:w="1007" w:type="dxa"/>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7</w:t>
            </w:r>
          </w:p>
        </w:tc>
        <w:tc>
          <w:tcPr>
            <w:tcW w:w="2018" w:type="dxa"/>
            <w:vAlign w:val="center"/>
          </w:tcPr>
          <w:p>
            <w:pPr>
              <w:pStyle w:val="48"/>
              <w:spacing w:line="360" w:lineRule="auto"/>
              <w:ind w:left="38"/>
              <w:jc w:val="center"/>
              <w:rPr>
                <w:rFonts w:ascii="仿宋" w:hAnsi="仿宋" w:eastAsia="仿宋"/>
                <w:color w:val="auto"/>
                <w:lang w:val="zh-CN"/>
              </w:rPr>
            </w:pPr>
            <w:r>
              <w:rPr>
                <w:rFonts w:hint="eastAsia" w:ascii="仿宋" w:hAnsi="仿宋" w:eastAsia="仿宋"/>
                <w:bCs/>
                <w:color w:val="auto"/>
              </w:rPr>
              <w:t>询比文件</w:t>
            </w:r>
            <w:r>
              <w:rPr>
                <w:rFonts w:hint="eastAsia" w:ascii="仿宋" w:hAnsi="仿宋" w:eastAsia="仿宋"/>
                <w:color w:val="auto"/>
                <w:lang w:val="zh-CN"/>
              </w:rPr>
              <w:t>咨询</w:t>
            </w:r>
          </w:p>
        </w:tc>
        <w:tc>
          <w:tcPr>
            <w:tcW w:w="6426" w:type="dxa"/>
            <w:vAlign w:val="center"/>
          </w:tcPr>
          <w:p>
            <w:pPr>
              <w:pStyle w:val="48"/>
              <w:spacing w:line="360" w:lineRule="auto"/>
              <w:ind w:firstLine="240" w:firstLineChars="100"/>
              <w:jc w:val="both"/>
              <w:rPr>
                <w:rFonts w:ascii="仿宋" w:hAnsi="仿宋" w:eastAsia="仿宋"/>
                <w:color w:val="auto"/>
                <w:lang w:val="zh-CN"/>
              </w:rPr>
            </w:pPr>
            <w:r>
              <w:rPr>
                <w:rFonts w:hint="eastAsia" w:ascii="仿宋" w:hAnsi="仿宋" w:eastAsia="仿宋"/>
                <w:color w:val="auto"/>
                <w:lang w:val="zh-CN"/>
              </w:rPr>
              <w:t>联系人：林燕</w:t>
            </w:r>
          </w:p>
          <w:p>
            <w:pPr>
              <w:pStyle w:val="48"/>
              <w:spacing w:line="360" w:lineRule="auto"/>
              <w:ind w:firstLine="240" w:firstLineChars="100"/>
              <w:jc w:val="both"/>
              <w:rPr>
                <w:rFonts w:ascii="仿宋" w:hAnsi="仿宋" w:eastAsia="仿宋"/>
                <w:color w:val="auto"/>
                <w:lang w:val="zh-CN"/>
              </w:rPr>
            </w:pPr>
            <w:r>
              <w:rPr>
                <w:rFonts w:hint="eastAsia" w:ascii="仿宋" w:hAnsi="仿宋" w:eastAsia="仿宋"/>
                <w:color w:val="auto"/>
                <w:lang w:val="zh-CN"/>
              </w:rPr>
              <w:t>联系电话：18989289712</w:t>
            </w:r>
            <w:r>
              <w:rPr>
                <w:rFonts w:ascii="仿宋" w:hAnsi="仿宋" w:eastAsia="仿宋"/>
                <w:color w:val="auto"/>
                <w:lang w:val="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2" w:hRule="atLeast"/>
          <w:jc w:val="center"/>
        </w:trPr>
        <w:tc>
          <w:tcPr>
            <w:tcW w:w="1007" w:type="dxa"/>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8</w:t>
            </w:r>
          </w:p>
        </w:tc>
        <w:tc>
          <w:tcPr>
            <w:tcW w:w="2018" w:type="dxa"/>
            <w:vAlign w:val="center"/>
          </w:tcPr>
          <w:p>
            <w:pPr>
              <w:pStyle w:val="48"/>
              <w:spacing w:line="360" w:lineRule="auto"/>
              <w:ind w:left="38"/>
              <w:jc w:val="center"/>
              <w:rPr>
                <w:rFonts w:ascii="仿宋" w:hAnsi="仿宋" w:eastAsia="仿宋" w:cs="Courier New"/>
                <w:color w:val="auto"/>
                <w:lang w:val="zh-CN"/>
              </w:rPr>
            </w:pPr>
            <w:r>
              <w:rPr>
                <w:rFonts w:hint="eastAsia" w:ascii="仿宋" w:hAnsi="仿宋" w:eastAsia="仿宋" w:cs="Courier New"/>
                <w:color w:val="auto"/>
                <w:lang w:val="zh-CN"/>
              </w:rPr>
              <w:t>询比结果工作咨询</w:t>
            </w:r>
          </w:p>
        </w:tc>
        <w:tc>
          <w:tcPr>
            <w:tcW w:w="6426" w:type="dxa"/>
            <w:vAlign w:val="center"/>
          </w:tcPr>
          <w:p>
            <w:pPr>
              <w:pStyle w:val="48"/>
              <w:spacing w:line="360" w:lineRule="auto"/>
              <w:ind w:firstLine="240" w:firstLineChars="100"/>
              <w:jc w:val="both"/>
              <w:rPr>
                <w:rFonts w:ascii="仿宋" w:hAnsi="仿宋" w:eastAsia="仿宋" w:cs="Courier New"/>
                <w:color w:val="auto"/>
                <w:lang w:val="zh-CN"/>
              </w:rPr>
            </w:pPr>
            <w:r>
              <w:rPr>
                <w:rFonts w:hint="eastAsia" w:ascii="仿宋" w:hAnsi="仿宋" w:eastAsia="仿宋" w:cs="Courier New"/>
                <w:color w:val="auto"/>
                <w:lang w:val="zh-CN"/>
              </w:rPr>
              <w:t>联系人：林燕</w:t>
            </w:r>
          </w:p>
          <w:p>
            <w:pPr>
              <w:pStyle w:val="48"/>
              <w:spacing w:line="360" w:lineRule="auto"/>
              <w:ind w:firstLine="240" w:firstLineChars="100"/>
              <w:jc w:val="both"/>
              <w:rPr>
                <w:rFonts w:ascii="仿宋" w:hAnsi="仿宋" w:eastAsia="仿宋" w:cs="Courier New"/>
                <w:color w:val="auto"/>
                <w:lang w:val="zh-CN"/>
              </w:rPr>
            </w:pPr>
            <w:r>
              <w:rPr>
                <w:rFonts w:hint="eastAsia" w:ascii="仿宋" w:hAnsi="仿宋" w:eastAsia="仿宋" w:cs="Courier New"/>
                <w:color w:val="auto"/>
                <w:lang w:val="zh-CN"/>
              </w:rPr>
              <w:t>联系电话：</w:t>
            </w:r>
            <w:r>
              <w:rPr>
                <w:rFonts w:hint="eastAsia" w:ascii="仿宋" w:hAnsi="仿宋" w:eastAsia="仿宋"/>
                <w:color w:val="auto"/>
                <w:lang w:val="zh-CN"/>
              </w:rPr>
              <w:t>18989289712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 w:hRule="atLeast"/>
          <w:jc w:val="center"/>
        </w:trPr>
        <w:tc>
          <w:tcPr>
            <w:tcW w:w="1007" w:type="dxa"/>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9</w:t>
            </w:r>
          </w:p>
        </w:tc>
        <w:tc>
          <w:tcPr>
            <w:tcW w:w="2018" w:type="dxa"/>
            <w:vAlign w:val="center"/>
          </w:tcPr>
          <w:p>
            <w:pPr>
              <w:pStyle w:val="48"/>
              <w:spacing w:line="360" w:lineRule="auto"/>
              <w:ind w:left="38"/>
              <w:jc w:val="center"/>
              <w:rPr>
                <w:rFonts w:ascii="仿宋" w:hAnsi="仿宋" w:eastAsia="仿宋"/>
                <w:color w:val="auto"/>
                <w:lang w:val="zh-CN"/>
              </w:rPr>
            </w:pPr>
            <w:r>
              <w:rPr>
                <w:rFonts w:hint="eastAsia" w:ascii="仿宋" w:hAnsi="仿宋" w:eastAsia="仿宋"/>
                <w:color w:val="auto"/>
                <w:lang w:val="zh-CN"/>
              </w:rPr>
              <w:t>成交通知书领取</w:t>
            </w:r>
          </w:p>
        </w:tc>
        <w:tc>
          <w:tcPr>
            <w:tcW w:w="6426" w:type="dxa"/>
            <w:vAlign w:val="center"/>
          </w:tcPr>
          <w:p>
            <w:pPr>
              <w:pStyle w:val="48"/>
              <w:spacing w:line="360" w:lineRule="auto"/>
              <w:ind w:firstLine="240" w:firstLineChars="100"/>
              <w:rPr>
                <w:rFonts w:ascii="仿宋" w:hAnsi="仿宋" w:eastAsia="仿宋"/>
                <w:color w:val="auto"/>
                <w:lang w:val="zh-CN"/>
              </w:rPr>
            </w:pPr>
            <w:bookmarkStart w:id="16" w:name="PO_默认文件内容_19"/>
            <w:r>
              <w:rPr>
                <w:rFonts w:hint="eastAsia" w:ascii="仿宋" w:hAnsi="仿宋" w:eastAsia="仿宋"/>
                <w:color w:val="auto"/>
                <w:lang w:val="zh-CN"/>
              </w:rPr>
              <w:t>请成交供应商凭有效身份证明证件到绵阳市涪城区高水中街29号院内领取成交通知书。</w:t>
            </w:r>
          </w:p>
          <w:p>
            <w:pPr>
              <w:pStyle w:val="48"/>
              <w:spacing w:line="360" w:lineRule="auto"/>
              <w:ind w:firstLine="240" w:firstLineChars="100"/>
              <w:rPr>
                <w:rFonts w:ascii="仿宋" w:hAnsi="仿宋" w:eastAsia="仿宋"/>
                <w:color w:val="auto"/>
                <w:lang w:val="zh-CN"/>
              </w:rPr>
            </w:pPr>
            <w:r>
              <w:rPr>
                <w:rFonts w:hint="eastAsia" w:ascii="仿宋" w:hAnsi="仿宋" w:eastAsia="仿宋"/>
                <w:color w:val="auto"/>
                <w:lang w:val="zh-CN"/>
              </w:rPr>
              <w:t>联 系 人：林燕</w:t>
            </w:r>
          </w:p>
          <w:p>
            <w:pPr>
              <w:pStyle w:val="48"/>
              <w:spacing w:line="360" w:lineRule="auto"/>
              <w:ind w:firstLine="240" w:firstLineChars="100"/>
              <w:rPr>
                <w:rFonts w:ascii="仿宋" w:hAnsi="仿宋" w:eastAsia="仿宋"/>
                <w:color w:val="auto"/>
                <w:lang w:val="zh-CN"/>
              </w:rPr>
            </w:pPr>
            <w:r>
              <w:rPr>
                <w:rFonts w:hint="eastAsia" w:ascii="仿宋" w:hAnsi="仿宋" w:eastAsia="仿宋"/>
                <w:color w:val="auto"/>
                <w:lang w:val="zh-CN"/>
              </w:rPr>
              <w:t>联系电话：18989289712</w:t>
            </w:r>
            <w:r>
              <w:rPr>
                <w:rFonts w:ascii="仿宋" w:hAnsi="仿宋" w:eastAsia="仿宋"/>
                <w:color w:val="auto"/>
                <w:lang w:val="zh-CN"/>
              </w:rPr>
              <w:t xml:space="preserve"> </w:t>
            </w:r>
          </w:p>
          <w:p>
            <w:pPr>
              <w:pStyle w:val="48"/>
              <w:spacing w:line="360" w:lineRule="auto"/>
              <w:ind w:firstLine="240" w:firstLineChars="100"/>
              <w:jc w:val="both"/>
              <w:rPr>
                <w:rFonts w:ascii="仿宋" w:hAnsi="仿宋" w:eastAsia="仿宋"/>
                <w:color w:val="auto"/>
                <w:lang w:val="zh-CN"/>
              </w:rPr>
            </w:pPr>
            <w:r>
              <w:rPr>
                <w:rFonts w:hint="eastAsia" w:ascii="仿宋" w:hAnsi="仿宋" w:eastAsia="仿宋"/>
                <w:color w:val="auto"/>
                <w:lang w:val="zh-CN"/>
              </w:rPr>
              <w:t>地    址：</w:t>
            </w:r>
            <w:bookmarkEnd w:id="16"/>
            <w:r>
              <w:rPr>
                <w:rFonts w:hint="eastAsia" w:ascii="仿宋" w:hAnsi="仿宋" w:eastAsia="仿宋"/>
                <w:color w:val="auto"/>
                <w:lang w:val="zh-CN"/>
              </w:rPr>
              <w:t>绵阳市涪城区高水中街29号院内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 w:hRule="atLeast"/>
          <w:jc w:val="center"/>
        </w:trPr>
        <w:tc>
          <w:tcPr>
            <w:tcW w:w="1007" w:type="dxa"/>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10</w:t>
            </w:r>
          </w:p>
        </w:tc>
        <w:tc>
          <w:tcPr>
            <w:tcW w:w="2018" w:type="dxa"/>
            <w:vAlign w:val="center"/>
          </w:tcPr>
          <w:p>
            <w:pPr>
              <w:pStyle w:val="48"/>
              <w:spacing w:line="360" w:lineRule="auto"/>
              <w:ind w:left="38"/>
              <w:jc w:val="center"/>
              <w:rPr>
                <w:rFonts w:ascii="仿宋" w:hAnsi="仿宋" w:eastAsia="仿宋" w:cs="Courier New"/>
                <w:color w:val="auto"/>
                <w:lang w:val="zh-CN"/>
              </w:rPr>
            </w:pPr>
            <w:r>
              <w:rPr>
                <w:rFonts w:hint="eastAsia" w:ascii="仿宋" w:hAnsi="仿宋" w:eastAsia="仿宋" w:cs="Courier New"/>
                <w:color w:val="auto"/>
                <w:lang w:val="zh-CN"/>
              </w:rPr>
              <w:t>供应商询问</w:t>
            </w:r>
          </w:p>
        </w:tc>
        <w:tc>
          <w:tcPr>
            <w:tcW w:w="6426" w:type="dxa"/>
          </w:tcPr>
          <w:p>
            <w:pPr>
              <w:pStyle w:val="48"/>
              <w:spacing w:line="360" w:lineRule="auto"/>
              <w:ind w:firstLine="240" w:firstLineChars="100"/>
              <w:rPr>
                <w:rFonts w:ascii="仿宋" w:hAnsi="仿宋" w:eastAsia="仿宋"/>
                <w:color w:val="auto"/>
                <w:lang w:val="zh-CN"/>
              </w:rPr>
            </w:pPr>
            <w:r>
              <w:rPr>
                <w:rFonts w:hint="eastAsia" w:ascii="仿宋" w:hAnsi="仿宋" w:eastAsia="仿宋"/>
                <w:color w:val="auto"/>
                <w:lang w:val="zh-CN"/>
              </w:rPr>
              <w:t>供应商询问由新华招标有限公司负责答复。</w:t>
            </w:r>
          </w:p>
          <w:p>
            <w:pPr>
              <w:pStyle w:val="48"/>
              <w:spacing w:line="360" w:lineRule="auto"/>
              <w:ind w:firstLine="240" w:firstLineChars="100"/>
              <w:rPr>
                <w:rFonts w:ascii="仿宋" w:hAnsi="仿宋" w:eastAsia="仿宋"/>
                <w:color w:val="auto"/>
                <w:lang w:val="zh-CN"/>
              </w:rPr>
            </w:pPr>
            <w:r>
              <w:rPr>
                <w:rFonts w:hint="eastAsia" w:ascii="仿宋" w:hAnsi="仿宋" w:eastAsia="仿宋"/>
                <w:color w:val="auto"/>
                <w:lang w:val="zh-CN"/>
              </w:rPr>
              <w:t>联系人：林燕</w:t>
            </w:r>
          </w:p>
          <w:p>
            <w:pPr>
              <w:pStyle w:val="48"/>
              <w:spacing w:line="360" w:lineRule="auto"/>
              <w:ind w:firstLine="240" w:firstLineChars="100"/>
              <w:rPr>
                <w:rFonts w:ascii="仿宋" w:hAnsi="仿宋" w:eastAsia="仿宋"/>
                <w:color w:val="auto"/>
                <w:lang w:val="zh-CN"/>
              </w:rPr>
            </w:pPr>
            <w:r>
              <w:rPr>
                <w:rFonts w:hint="eastAsia" w:ascii="仿宋" w:hAnsi="仿宋" w:eastAsia="仿宋"/>
                <w:color w:val="auto"/>
                <w:lang w:val="zh-CN"/>
              </w:rPr>
              <w:t xml:space="preserve">联系电话：18989289712 </w:t>
            </w:r>
          </w:p>
          <w:p>
            <w:pPr>
              <w:pStyle w:val="48"/>
              <w:spacing w:line="360" w:lineRule="auto"/>
              <w:ind w:firstLine="240" w:firstLineChars="100"/>
              <w:rPr>
                <w:rFonts w:ascii="仿宋" w:hAnsi="仿宋" w:eastAsia="仿宋"/>
                <w:color w:val="auto"/>
                <w:lang w:val="zh-CN"/>
              </w:rPr>
            </w:pPr>
            <w:r>
              <w:rPr>
                <w:rFonts w:hint="eastAsia" w:ascii="仿宋" w:hAnsi="仿宋" w:eastAsia="仿宋"/>
                <w:color w:val="auto"/>
                <w:lang w:val="zh-CN"/>
              </w:rPr>
              <w:t>地址：绵阳市涪城区高水中街29号院内</w:t>
            </w:r>
          </w:p>
          <w:p>
            <w:pPr>
              <w:pStyle w:val="48"/>
              <w:spacing w:line="360" w:lineRule="auto"/>
              <w:ind w:firstLine="240" w:firstLineChars="100"/>
              <w:rPr>
                <w:rFonts w:ascii="仿宋" w:hAnsi="仿宋" w:eastAsia="仿宋" w:cs="Courier New"/>
                <w:color w:val="auto"/>
                <w:lang w:val="zh-CN"/>
              </w:rPr>
            </w:pPr>
            <w:r>
              <w:rPr>
                <w:rFonts w:hint="eastAsia" w:ascii="仿宋" w:hAnsi="仿宋" w:eastAsia="仿宋"/>
                <w:color w:val="auto"/>
                <w:lang w:val="zh-CN"/>
              </w:rPr>
              <w:t>邮编：6</w:t>
            </w:r>
            <w:r>
              <w:rPr>
                <w:rFonts w:ascii="仿宋" w:hAnsi="仿宋" w:eastAsia="仿宋"/>
                <w:color w:val="auto"/>
                <w:lang w:val="zh-CN"/>
              </w:rPr>
              <w:t>21</w:t>
            </w:r>
            <w:r>
              <w:rPr>
                <w:rFonts w:hint="eastAsia" w:ascii="仿宋" w:hAnsi="仿宋" w:eastAsia="仿宋"/>
                <w:color w:val="auto"/>
                <w:lang w:val="zh-CN"/>
              </w:rPr>
              <w:t>000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 w:hRule="atLeast"/>
          <w:jc w:val="center"/>
        </w:trPr>
        <w:tc>
          <w:tcPr>
            <w:tcW w:w="1007" w:type="dxa"/>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11</w:t>
            </w:r>
          </w:p>
        </w:tc>
        <w:tc>
          <w:tcPr>
            <w:tcW w:w="2018" w:type="dxa"/>
            <w:vAlign w:val="center"/>
          </w:tcPr>
          <w:p>
            <w:pPr>
              <w:pStyle w:val="48"/>
              <w:spacing w:line="360" w:lineRule="auto"/>
              <w:ind w:left="96"/>
              <w:jc w:val="center"/>
              <w:rPr>
                <w:rFonts w:ascii="仿宋" w:hAnsi="仿宋" w:eastAsia="仿宋" w:cs="Courier New"/>
                <w:color w:val="auto"/>
                <w:lang w:val="zh-CN"/>
              </w:rPr>
            </w:pPr>
            <w:r>
              <w:rPr>
                <w:rFonts w:hint="eastAsia" w:ascii="仿宋" w:hAnsi="仿宋" w:eastAsia="仿宋" w:cs="Courier New"/>
                <w:color w:val="auto"/>
                <w:lang w:val="zh-CN"/>
              </w:rPr>
              <w:t>供应商质疑</w:t>
            </w:r>
          </w:p>
        </w:tc>
        <w:tc>
          <w:tcPr>
            <w:tcW w:w="6426" w:type="dxa"/>
            <w:vAlign w:val="center"/>
          </w:tcPr>
          <w:p>
            <w:pPr>
              <w:rPr>
                <w:rFonts w:ascii="仿宋" w:hAnsi="仿宋"/>
                <w:color w:val="auto"/>
              </w:rPr>
            </w:pPr>
            <w:r>
              <w:rPr>
                <w:rFonts w:hint="eastAsia" w:ascii="仿宋" w:hAnsi="仿宋"/>
                <w:color w:val="auto"/>
              </w:rPr>
              <w:t>质疑由采购代理机构负责答复。</w:t>
            </w:r>
          </w:p>
          <w:p>
            <w:pPr>
              <w:rPr>
                <w:rFonts w:ascii="仿宋" w:hAnsi="仿宋"/>
                <w:color w:val="auto"/>
              </w:rPr>
            </w:pPr>
            <w:r>
              <w:rPr>
                <w:rFonts w:hint="eastAsia" w:ascii="仿宋" w:hAnsi="仿宋"/>
                <w:color w:val="auto"/>
              </w:rPr>
              <w:t>供应商对采购活动事项有疑问的，可以提出询问；</w:t>
            </w:r>
          </w:p>
          <w:p>
            <w:pPr>
              <w:rPr>
                <w:rFonts w:ascii="仿宋" w:hAnsi="仿宋"/>
                <w:color w:val="auto"/>
              </w:rPr>
            </w:pPr>
            <w:r>
              <w:rPr>
                <w:rFonts w:hint="eastAsia" w:ascii="仿宋" w:hAnsi="仿宋"/>
                <w:color w:val="auto"/>
              </w:rPr>
              <w:t>供应商认为采购文件、采购过程、采购结果使自己的权益受到损害的，可以在知道或者应知其权益受到损害之日起</w:t>
            </w:r>
            <w:r>
              <w:rPr>
                <w:rFonts w:ascii="仿宋" w:hAnsi="仿宋"/>
                <w:color w:val="auto"/>
              </w:rPr>
              <w:t>7</w:t>
            </w:r>
            <w:r>
              <w:rPr>
                <w:rFonts w:hint="eastAsia" w:ascii="仿宋" w:hAnsi="仿宋"/>
                <w:color w:val="auto"/>
              </w:rPr>
              <w:t>个工作日内，提出质疑。且供应商应当在规定质疑期内一次性提出针对同一采购程序环节的质疑。</w:t>
            </w:r>
          </w:p>
          <w:p>
            <w:pPr>
              <w:rPr>
                <w:rFonts w:ascii="仿宋" w:hAnsi="仿宋"/>
                <w:color w:val="auto"/>
              </w:rPr>
            </w:pPr>
            <w:r>
              <w:rPr>
                <w:rFonts w:ascii="仿宋" w:hAnsi="仿宋"/>
                <w:color w:val="auto"/>
              </w:rPr>
              <w:t>1</w:t>
            </w:r>
            <w:r>
              <w:rPr>
                <w:rFonts w:hint="eastAsia" w:ascii="仿宋" w:hAnsi="仿宋"/>
                <w:color w:val="auto"/>
              </w:rPr>
              <w:t>、受理质疑方式：书面方式</w:t>
            </w:r>
          </w:p>
          <w:p>
            <w:pPr>
              <w:rPr>
                <w:rFonts w:ascii="仿宋" w:hAnsi="仿宋"/>
                <w:color w:val="auto"/>
              </w:rPr>
            </w:pPr>
            <w:r>
              <w:rPr>
                <w:rFonts w:ascii="仿宋" w:hAnsi="仿宋"/>
                <w:color w:val="auto"/>
              </w:rPr>
              <w:t>2</w:t>
            </w:r>
            <w:r>
              <w:rPr>
                <w:rFonts w:hint="eastAsia" w:ascii="仿宋" w:hAnsi="仿宋"/>
                <w:color w:val="auto"/>
              </w:rPr>
              <w:t>、供应商提出质疑应当提交质疑函和必要的证明材料。质疑函应当包括下列内容：</w:t>
            </w:r>
          </w:p>
          <w:p>
            <w:pPr>
              <w:rPr>
                <w:rFonts w:ascii="仿宋" w:hAnsi="仿宋"/>
                <w:color w:val="auto"/>
              </w:rPr>
            </w:pPr>
            <w:r>
              <w:rPr>
                <w:rFonts w:ascii="仿宋" w:hAnsi="仿宋"/>
                <w:color w:val="auto"/>
              </w:rPr>
              <w:t>2.1</w:t>
            </w:r>
            <w:r>
              <w:rPr>
                <w:rFonts w:hint="eastAsia" w:ascii="仿宋" w:hAnsi="仿宋"/>
                <w:color w:val="auto"/>
              </w:rPr>
              <w:t>供应商的姓名或者名称、地址、邮编、联系人及联系电话；</w:t>
            </w:r>
          </w:p>
          <w:p>
            <w:pPr>
              <w:rPr>
                <w:rFonts w:ascii="仿宋" w:hAnsi="仿宋"/>
                <w:color w:val="auto"/>
              </w:rPr>
            </w:pPr>
            <w:r>
              <w:rPr>
                <w:rFonts w:ascii="仿宋" w:hAnsi="仿宋"/>
                <w:color w:val="auto"/>
              </w:rPr>
              <w:t>2.2</w:t>
            </w:r>
            <w:r>
              <w:rPr>
                <w:rFonts w:hint="eastAsia" w:ascii="仿宋" w:hAnsi="仿宋"/>
                <w:color w:val="auto"/>
              </w:rPr>
              <w:t>质疑项目的名称、编号；</w:t>
            </w:r>
          </w:p>
          <w:p>
            <w:pPr>
              <w:rPr>
                <w:rFonts w:ascii="仿宋" w:hAnsi="仿宋"/>
                <w:color w:val="auto"/>
              </w:rPr>
            </w:pPr>
            <w:r>
              <w:rPr>
                <w:rFonts w:ascii="仿宋" w:hAnsi="仿宋"/>
                <w:color w:val="auto"/>
              </w:rPr>
              <w:t>2.3</w:t>
            </w:r>
            <w:r>
              <w:rPr>
                <w:rFonts w:hint="eastAsia" w:ascii="仿宋" w:hAnsi="仿宋"/>
                <w:color w:val="auto"/>
              </w:rPr>
              <w:t>具体、明确的质疑事项和与质疑事项相关的请求；</w:t>
            </w:r>
          </w:p>
          <w:p>
            <w:pPr>
              <w:rPr>
                <w:rFonts w:ascii="仿宋" w:hAnsi="仿宋"/>
                <w:color w:val="auto"/>
              </w:rPr>
            </w:pPr>
            <w:r>
              <w:rPr>
                <w:rFonts w:ascii="仿宋" w:hAnsi="仿宋"/>
                <w:color w:val="auto"/>
              </w:rPr>
              <w:t>2.4</w:t>
            </w:r>
            <w:r>
              <w:rPr>
                <w:rFonts w:hint="eastAsia" w:ascii="仿宋" w:hAnsi="仿宋"/>
                <w:color w:val="auto"/>
              </w:rPr>
              <w:t>事实依据；</w:t>
            </w:r>
          </w:p>
          <w:p>
            <w:pPr>
              <w:rPr>
                <w:rFonts w:ascii="仿宋" w:hAnsi="仿宋"/>
                <w:color w:val="auto"/>
              </w:rPr>
            </w:pPr>
            <w:r>
              <w:rPr>
                <w:rFonts w:ascii="仿宋" w:hAnsi="仿宋"/>
                <w:color w:val="auto"/>
              </w:rPr>
              <w:t>2.5</w:t>
            </w:r>
            <w:r>
              <w:rPr>
                <w:rFonts w:hint="eastAsia" w:ascii="仿宋" w:hAnsi="仿宋"/>
                <w:color w:val="auto"/>
              </w:rPr>
              <w:t>必要的法律依据；</w:t>
            </w:r>
          </w:p>
          <w:p>
            <w:pPr>
              <w:rPr>
                <w:rFonts w:ascii="仿宋" w:hAnsi="仿宋"/>
                <w:color w:val="auto"/>
              </w:rPr>
            </w:pPr>
            <w:r>
              <w:rPr>
                <w:rFonts w:ascii="仿宋" w:hAnsi="仿宋"/>
                <w:color w:val="auto"/>
              </w:rPr>
              <w:t>2.6</w:t>
            </w:r>
            <w:r>
              <w:rPr>
                <w:rFonts w:hint="eastAsia" w:ascii="仿宋" w:hAnsi="仿宋"/>
                <w:color w:val="auto"/>
              </w:rPr>
              <w:t>提出质疑的日期。</w:t>
            </w:r>
          </w:p>
          <w:p>
            <w:pPr>
              <w:rPr>
                <w:rFonts w:ascii="仿宋" w:hAnsi="仿宋"/>
                <w:color w:val="auto"/>
              </w:rPr>
            </w:pPr>
            <w:r>
              <w:rPr>
                <w:rFonts w:hint="eastAsia" w:ascii="仿宋" w:hAnsi="仿宋"/>
                <w:color w:val="auto"/>
              </w:rPr>
              <w:t>供应商为自然人的，质疑函应当由本人签字；供应商为法人或者其他组织的，质疑函应当由法定代表人、主要负责人，或者其授权代表签字或者盖章，并加盖公章。</w:t>
            </w:r>
          </w:p>
          <w:p>
            <w:pPr>
              <w:rPr>
                <w:rFonts w:ascii="仿宋" w:hAnsi="仿宋"/>
                <w:color w:val="auto"/>
              </w:rPr>
            </w:pPr>
            <w:r>
              <w:rPr>
                <w:rFonts w:hint="eastAsia" w:ascii="仿宋" w:hAnsi="仿宋"/>
                <w:color w:val="auto"/>
              </w:rPr>
              <w:t>供应商委托代理人递交质疑函的，应提供法定代表人授权委托书和代理人身份证复印件。授权委托书应当载明代理人的姓名、授权事项、具体权限、期限和相关事项。供应商为自然人的，授权委托书应当由本人签字；供应商为法人或者其他组织的，授权委托书应当由法定代表人、主要负责人签字或者盖章，并加盖公章。</w:t>
            </w:r>
          </w:p>
          <w:p>
            <w:pPr>
              <w:rPr>
                <w:rFonts w:ascii="仿宋" w:hAnsi="仿宋"/>
                <w:color w:val="auto"/>
              </w:rPr>
            </w:pPr>
            <w:r>
              <w:rPr>
                <w:rFonts w:ascii="仿宋" w:hAnsi="仿宋"/>
                <w:color w:val="auto"/>
              </w:rPr>
              <w:t>3</w:t>
            </w:r>
            <w:r>
              <w:rPr>
                <w:rFonts w:hint="eastAsia" w:ascii="仿宋" w:hAnsi="仿宋"/>
                <w:color w:val="auto"/>
              </w:rPr>
              <w:t>、受理部门：新华招标有限公司综合运营部</w:t>
            </w:r>
          </w:p>
          <w:p>
            <w:pPr>
              <w:rPr>
                <w:rFonts w:ascii="仿宋" w:hAnsi="仿宋"/>
                <w:color w:val="auto"/>
              </w:rPr>
            </w:pPr>
            <w:r>
              <w:rPr>
                <w:rFonts w:ascii="仿宋" w:hAnsi="仿宋"/>
                <w:color w:val="auto"/>
              </w:rPr>
              <w:t>4</w:t>
            </w:r>
            <w:r>
              <w:rPr>
                <w:rFonts w:hint="eastAsia" w:ascii="仿宋" w:hAnsi="仿宋"/>
                <w:color w:val="auto"/>
              </w:rPr>
              <w:t>、联系人：徐女士、张先生</w:t>
            </w:r>
          </w:p>
          <w:p>
            <w:pPr>
              <w:rPr>
                <w:rFonts w:ascii="仿宋" w:hAnsi="仿宋"/>
                <w:color w:val="auto"/>
              </w:rPr>
            </w:pPr>
            <w:r>
              <w:rPr>
                <w:rFonts w:ascii="仿宋" w:hAnsi="仿宋"/>
                <w:color w:val="auto"/>
              </w:rPr>
              <w:t>5</w:t>
            </w:r>
            <w:r>
              <w:rPr>
                <w:rFonts w:hint="eastAsia" w:ascii="仿宋" w:hAnsi="仿宋"/>
                <w:color w:val="auto"/>
              </w:rPr>
              <w:t>、联系电话：</w:t>
            </w:r>
            <w:r>
              <w:rPr>
                <w:rFonts w:ascii="仿宋" w:hAnsi="仿宋"/>
                <w:color w:val="auto"/>
              </w:rPr>
              <w:t>010-63905903、</w:t>
            </w:r>
            <w:r>
              <w:rPr>
                <w:rFonts w:hint="eastAsia" w:ascii="仿宋" w:hAnsi="仿宋"/>
                <w:color w:val="auto"/>
              </w:rPr>
              <w:t>18280855825</w:t>
            </w:r>
          </w:p>
          <w:p>
            <w:pPr>
              <w:rPr>
                <w:rFonts w:ascii="仿宋" w:hAnsi="仿宋"/>
                <w:color w:val="auto"/>
              </w:rPr>
            </w:pPr>
            <w:r>
              <w:rPr>
                <w:rFonts w:ascii="仿宋" w:hAnsi="仿宋"/>
                <w:color w:val="auto"/>
              </w:rPr>
              <w:t>6</w:t>
            </w:r>
            <w:r>
              <w:rPr>
                <w:rFonts w:hint="eastAsia" w:ascii="仿宋" w:hAnsi="仿宋"/>
                <w:color w:val="auto"/>
              </w:rPr>
              <w:t>、地址：绵阳市涪城区高水中街29号</w:t>
            </w:r>
          </w:p>
          <w:p>
            <w:pPr>
              <w:rPr>
                <w:rFonts w:ascii="仿宋" w:hAnsi="仿宋"/>
                <w:color w:val="auto"/>
              </w:rPr>
            </w:pPr>
            <w:r>
              <w:rPr>
                <w:rFonts w:hint="eastAsia" w:ascii="仿宋" w:hAnsi="仿宋"/>
                <w:color w:val="auto"/>
              </w:rPr>
              <w:t>7、邮箱：</w:t>
            </w:r>
            <w:r>
              <w:rPr>
                <w:rFonts w:ascii="仿宋" w:hAnsi="仿宋"/>
                <w:color w:val="auto"/>
              </w:rPr>
              <w:t>zhangsheng@xhtc.com.cn</w:t>
            </w:r>
          </w:p>
          <w:p>
            <w:pPr>
              <w:rPr>
                <w:rFonts w:ascii="仿宋" w:hAnsi="仿宋"/>
                <w:color w:val="auto"/>
              </w:rPr>
            </w:pPr>
            <w:r>
              <w:rPr>
                <w:rFonts w:hint="eastAsia" w:ascii="仿宋" w:hAnsi="仿宋"/>
                <w:color w:val="auto"/>
              </w:rPr>
              <w:t>8、邮编：</w:t>
            </w:r>
            <w:r>
              <w:rPr>
                <w:rFonts w:ascii="仿宋" w:hAnsi="仿宋"/>
                <w:color w:val="auto"/>
              </w:rPr>
              <w:t>621000</w:t>
            </w:r>
            <w:r>
              <w:rPr>
                <w:rFonts w:hint="eastAsia" w:ascii="仿宋" w:hAnsi="仿宋"/>
                <w:color w:val="auto"/>
              </w:rPr>
              <w:t>。</w:t>
            </w:r>
          </w:p>
          <w:p>
            <w:pPr>
              <w:pStyle w:val="48"/>
              <w:spacing w:line="360" w:lineRule="auto"/>
              <w:ind w:firstLine="240" w:firstLineChars="100"/>
              <w:rPr>
                <w:rFonts w:ascii="仿宋" w:hAnsi="仿宋" w:eastAsia="仿宋" w:cs="Courier New"/>
                <w:color w:val="auto"/>
                <w:lang w:val="zh-CN"/>
              </w:rPr>
            </w:pPr>
            <w:r>
              <w:rPr>
                <w:rFonts w:hint="eastAsia" w:ascii="仿宋" w:hAnsi="仿宋" w:eastAsia="仿宋"/>
                <w:color w:val="auto"/>
              </w:rPr>
              <w:t>注：供应商质疑不得超出采购文件、采购过程、采购结果的范围</w:t>
            </w:r>
            <w:r>
              <w:rPr>
                <w:rFonts w:ascii="仿宋" w:hAnsi="仿宋" w:eastAsia="仿宋"/>
                <w:color w:val="auto"/>
              </w:rPr>
              <w:t xml:space="preserve">, </w:t>
            </w:r>
            <w:r>
              <w:rPr>
                <w:rFonts w:hint="eastAsia" w:ascii="仿宋" w:hAnsi="仿宋" w:eastAsia="仿宋"/>
                <w:color w:val="auto"/>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 w:hRule="atLeast"/>
          <w:jc w:val="center"/>
        </w:trPr>
        <w:tc>
          <w:tcPr>
            <w:tcW w:w="1007" w:type="dxa"/>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12</w:t>
            </w:r>
          </w:p>
        </w:tc>
        <w:tc>
          <w:tcPr>
            <w:tcW w:w="2018" w:type="dxa"/>
            <w:vAlign w:val="center"/>
          </w:tcPr>
          <w:p>
            <w:pPr>
              <w:pStyle w:val="48"/>
              <w:spacing w:line="360" w:lineRule="auto"/>
              <w:ind w:left="96"/>
              <w:jc w:val="center"/>
              <w:rPr>
                <w:rFonts w:ascii="仿宋" w:hAnsi="仿宋" w:eastAsia="仿宋" w:cs="Courier New"/>
                <w:color w:val="auto"/>
                <w:lang w:val="zh-CN"/>
              </w:rPr>
            </w:pPr>
            <w:r>
              <w:rPr>
                <w:rFonts w:hint="eastAsia" w:ascii="仿宋" w:hAnsi="仿宋" w:eastAsia="仿宋" w:cs="Courier New"/>
                <w:color w:val="auto"/>
                <w:lang w:val="zh-CN"/>
              </w:rPr>
              <w:t>供应商投诉</w:t>
            </w:r>
          </w:p>
        </w:tc>
        <w:tc>
          <w:tcPr>
            <w:tcW w:w="6426" w:type="dxa"/>
            <w:vAlign w:val="center"/>
          </w:tcPr>
          <w:p>
            <w:pPr>
              <w:jc w:val="left"/>
              <w:rPr>
                <w:rFonts w:ascii="仿宋" w:hAnsi="仿宋"/>
                <w:color w:val="auto"/>
              </w:rPr>
            </w:pPr>
            <w:r>
              <w:rPr>
                <w:rFonts w:hint="eastAsia" w:ascii="仿宋" w:hAnsi="仿宋"/>
                <w:color w:val="auto"/>
              </w:rPr>
              <w:t>投诉受理单位：中国工程物理研究院固定资产投资建设管理中心</w:t>
            </w:r>
          </w:p>
          <w:p>
            <w:pPr>
              <w:rPr>
                <w:rFonts w:ascii="仿宋" w:hAnsi="仿宋"/>
                <w:color w:val="auto"/>
              </w:rPr>
            </w:pPr>
            <w:r>
              <w:rPr>
                <w:rFonts w:hint="eastAsia" w:ascii="仿宋" w:hAnsi="仿宋"/>
                <w:color w:val="auto"/>
              </w:rPr>
              <w:t>联系电话：</w:t>
            </w:r>
            <w:r>
              <w:rPr>
                <w:rFonts w:ascii="仿宋" w:hAnsi="仿宋"/>
                <w:color w:val="auto"/>
              </w:rPr>
              <w:t>0816-2482753</w:t>
            </w:r>
          </w:p>
          <w:p>
            <w:pPr>
              <w:rPr>
                <w:rFonts w:ascii="仿宋" w:hAnsi="仿宋"/>
                <w:color w:val="auto"/>
              </w:rPr>
            </w:pPr>
            <w:r>
              <w:rPr>
                <w:rFonts w:hint="eastAsia" w:ascii="仿宋" w:hAnsi="仿宋"/>
                <w:color w:val="auto"/>
              </w:rPr>
              <w:t>联系地址：</w:t>
            </w:r>
            <w:r>
              <w:rPr>
                <w:rFonts w:hint="eastAsia" w:ascii="仿宋" w:hAnsi="仿宋"/>
                <w:bCs/>
                <w:color w:val="auto"/>
              </w:rPr>
              <w:t>四川省绵阳市游仙区绵山路</w:t>
            </w:r>
            <w:r>
              <w:rPr>
                <w:rFonts w:ascii="仿宋" w:hAnsi="仿宋"/>
                <w:bCs/>
                <w:color w:val="auto"/>
              </w:rPr>
              <w:t>64</w:t>
            </w:r>
            <w:r>
              <w:rPr>
                <w:rFonts w:hint="eastAsia" w:ascii="仿宋" w:hAnsi="仿宋"/>
                <w:bCs/>
                <w:color w:val="auto"/>
              </w:rPr>
              <w:t>号</w:t>
            </w:r>
          </w:p>
          <w:p>
            <w:pPr>
              <w:pStyle w:val="48"/>
              <w:spacing w:line="360" w:lineRule="auto"/>
              <w:rPr>
                <w:rFonts w:ascii="仿宋" w:hAnsi="仿宋" w:eastAsia="仿宋" w:cs="Courier New"/>
                <w:color w:val="auto"/>
                <w:lang w:val="zh-CN"/>
              </w:rPr>
            </w:pPr>
            <w:r>
              <w:rPr>
                <w:rFonts w:hint="eastAsia" w:ascii="仿宋" w:hAnsi="仿宋" w:eastAsia="仿宋"/>
                <w:color w:val="auto"/>
              </w:rPr>
              <w:t>注：供应商投诉事项不得超出已质疑事项的范围。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47" w:hRule="atLeast"/>
          <w:jc w:val="center"/>
        </w:trPr>
        <w:tc>
          <w:tcPr>
            <w:tcW w:w="1007" w:type="dxa"/>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13</w:t>
            </w:r>
          </w:p>
        </w:tc>
        <w:tc>
          <w:tcPr>
            <w:tcW w:w="2018" w:type="dxa"/>
            <w:vAlign w:val="center"/>
          </w:tcPr>
          <w:p>
            <w:pPr>
              <w:pStyle w:val="48"/>
              <w:spacing w:line="360" w:lineRule="auto"/>
              <w:ind w:left="96"/>
              <w:jc w:val="center"/>
              <w:rPr>
                <w:rFonts w:ascii="仿宋" w:hAnsi="仿宋" w:eastAsia="仿宋" w:cs="Courier New"/>
                <w:color w:val="auto"/>
                <w:lang w:val="zh-CN"/>
              </w:rPr>
            </w:pPr>
            <w:r>
              <w:rPr>
                <w:rFonts w:hint="eastAsia" w:ascii="仿宋" w:hAnsi="仿宋" w:eastAsia="仿宋" w:cs="Courier New"/>
                <w:color w:val="auto"/>
                <w:lang w:val="zh-CN"/>
              </w:rPr>
              <w:t>成交服务费</w:t>
            </w:r>
          </w:p>
          <w:p>
            <w:pPr>
              <w:pStyle w:val="48"/>
              <w:spacing w:line="360" w:lineRule="auto"/>
              <w:ind w:left="96"/>
              <w:jc w:val="center"/>
              <w:rPr>
                <w:rFonts w:ascii="仿宋" w:hAnsi="仿宋" w:eastAsia="仿宋" w:cs="Courier New"/>
                <w:b/>
                <w:bCs/>
                <w:color w:val="auto"/>
                <w:lang w:val="zh-CN"/>
              </w:rPr>
            </w:pPr>
            <w:r>
              <w:rPr>
                <w:rFonts w:hint="eastAsia" w:ascii="仿宋" w:hAnsi="仿宋" w:eastAsia="仿宋" w:cs="Courier New"/>
                <w:b/>
                <w:bCs/>
                <w:color w:val="auto"/>
                <w:lang w:val="zh-CN"/>
              </w:rPr>
              <w:t>（实质性要求）</w:t>
            </w:r>
          </w:p>
        </w:tc>
        <w:tc>
          <w:tcPr>
            <w:tcW w:w="6426" w:type="dxa"/>
            <w:vAlign w:val="center"/>
          </w:tcPr>
          <w:p>
            <w:pPr>
              <w:rPr>
                <w:rFonts w:ascii="仿宋" w:hAnsi="仿宋"/>
                <w:color w:val="auto"/>
              </w:rPr>
            </w:pPr>
            <w:r>
              <w:rPr>
                <w:rFonts w:hint="eastAsia" w:ascii="仿宋" w:hAnsi="仿宋"/>
                <w:color w:val="auto"/>
              </w:rPr>
              <w:t>收款单位：新华招标有限公司</w:t>
            </w:r>
          </w:p>
          <w:p>
            <w:pPr>
              <w:rPr>
                <w:rFonts w:ascii="仿宋" w:hAnsi="仿宋"/>
                <w:color w:val="auto"/>
              </w:rPr>
            </w:pPr>
            <w:r>
              <w:rPr>
                <w:rFonts w:hint="eastAsia" w:ascii="仿宋" w:hAnsi="仿宋"/>
                <w:color w:val="auto"/>
              </w:rPr>
              <w:t>开户行：</w:t>
            </w:r>
            <w:r>
              <w:rPr>
                <w:rFonts w:ascii="仿宋" w:hAnsi="仿宋"/>
                <w:color w:val="auto"/>
              </w:rPr>
              <w:t>广发银行股份有限公司北京科学园支行</w:t>
            </w:r>
          </w:p>
          <w:p>
            <w:pPr>
              <w:pStyle w:val="48"/>
              <w:spacing w:line="360" w:lineRule="auto"/>
              <w:rPr>
                <w:rFonts w:ascii="仿宋" w:hAnsi="仿宋" w:eastAsia="仿宋" w:cs="Times New Roman"/>
                <w:color w:val="auto"/>
                <w:kern w:val="2"/>
              </w:rPr>
            </w:pPr>
            <w:r>
              <w:rPr>
                <w:rFonts w:hint="eastAsia" w:ascii="仿宋" w:hAnsi="仿宋" w:eastAsia="仿宋" w:cs="Times New Roman"/>
                <w:color w:val="auto"/>
                <w:kern w:val="2"/>
              </w:rPr>
              <w:t>银行账号：6232593799006204401</w:t>
            </w:r>
          </w:p>
          <w:p>
            <w:pPr>
              <w:pStyle w:val="48"/>
              <w:spacing w:line="360" w:lineRule="auto"/>
              <w:rPr>
                <w:rFonts w:ascii="仿宋" w:hAnsi="仿宋" w:eastAsia="仿宋" w:cs="仿宋"/>
                <w:color w:val="auto"/>
                <w:kern w:val="2"/>
              </w:rPr>
            </w:pPr>
            <w:r>
              <w:rPr>
                <w:rFonts w:hint="eastAsia" w:ascii="仿宋" w:hAnsi="仿宋" w:eastAsia="仿宋" w:cs="仿宋"/>
                <w:color w:val="auto"/>
                <w:kern w:val="2"/>
              </w:rPr>
              <w:t>成交人支付。成交人以成交金额作为代理服务费收费计算基数 ，以差额定率累进法按下表费率标准计取采购代理服务费，在领取成交通知书前以银行转账/电汇等方式支付给采购代理机构。</w:t>
            </w:r>
          </w:p>
          <w:p>
            <w:pPr>
              <w:pStyle w:val="48"/>
              <w:spacing w:line="360" w:lineRule="auto"/>
              <w:rPr>
                <w:rFonts w:ascii="仿宋" w:hAnsi="仿宋" w:eastAsia="仿宋" w:cs="仿宋"/>
                <w:color w:val="auto"/>
                <w:kern w:val="2"/>
              </w:rPr>
            </w:pPr>
            <w:r>
              <w:rPr>
                <w:rFonts w:hint="eastAsia" w:ascii="仿宋" w:hAnsi="仿宋" w:eastAsia="仿宋" w:cs="仿宋"/>
                <w:color w:val="auto"/>
                <w:kern w:val="2"/>
              </w:rPr>
              <w:t>例如：某货物采购代理项目成交金额为</w:t>
            </w:r>
            <w:r>
              <w:rPr>
                <w:rFonts w:ascii="仿宋" w:hAnsi="仿宋" w:eastAsia="仿宋" w:cs="仿宋"/>
                <w:color w:val="auto"/>
                <w:kern w:val="2"/>
              </w:rPr>
              <w:t>15</w:t>
            </w:r>
            <w:r>
              <w:rPr>
                <w:rFonts w:hint="eastAsia" w:ascii="仿宋" w:hAnsi="仿宋" w:eastAsia="仿宋" w:cs="仿宋"/>
                <w:color w:val="auto"/>
                <w:kern w:val="2"/>
              </w:rPr>
              <w:t>0万元，计算代理服务费方式如下：</w:t>
            </w:r>
          </w:p>
          <w:p>
            <w:pPr>
              <w:pStyle w:val="48"/>
              <w:spacing w:line="360" w:lineRule="auto"/>
              <w:rPr>
                <w:rFonts w:ascii="仿宋" w:hAnsi="仿宋" w:eastAsia="仿宋" w:cs="仿宋"/>
                <w:color w:val="auto"/>
                <w:kern w:val="2"/>
              </w:rPr>
            </w:pPr>
            <w:r>
              <w:rPr>
                <w:rFonts w:ascii="仿宋" w:hAnsi="仿宋" w:eastAsia="仿宋" w:cs="仿宋"/>
                <w:color w:val="auto"/>
                <w:kern w:val="2"/>
              </w:rPr>
              <w:t>0</w:t>
            </w:r>
            <w:r>
              <w:rPr>
                <w:rFonts w:hint="eastAsia" w:ascii="仿宋" w:hAnsi="仿宋" w:eastAsia="仿宋" w:cs="仿宋"/>
                <w:color w:val="auto"/>
                <w:kern w:val="2"/>
              </w:rPr>
              <w:t>-</w:t>
            </w:r>
            <w:r>
              <w:rPr>
                <w:rFonts w:ascii="仿宋" w:hAnsi="仿宋" w:eastAsia="仿宋" w:cs="仿宋"/>
                <w:color w:val="auto"/>
                <w:kern w:val="2"/>
              </w:rPr>
              <w:t>100</w:t>
            </w:r>
            <w:r>
              <w:rPr>
                <w:rFonts w:hint="eastAsia" w:ascii="仿宋" w:hAnsi="仿宋" w:eastAsia="仿宋" w:cs="仿宋"/>
                <w:color w:val="auto"/>
                <w:kern w:val="2"/>
              </w:rPr>
              <w:t>万：100万×1.5%=1</w:t>
            </w:r>
            <w:r>
              <w:rPr>
                <w:rFonts w:ascii="仿宋" w:hAnsi="仿宋" w:eastAsia="仿宋" w:cs="仿宋"/>
                <w:color w:val="auto"/>
                <w:kern w:val="2"/>
              </w:rPr>
              <w:t>5000</w:t>
            </w:r>
            <w:r>
              <w:rPr>
                <w:rFonts w:hint="eastAsia" w:ascii="仿宋" w:hAnsi="仿宋" w:eastAsia="仿宋" w:cs="仿宋"/>
                <w:color w:val="auto"/>
                <w:kern w:val="2"/>
              </w:rPr>
              <w:t>元</w:t>
            </w:r>
          </w:p>
          <w:p>
            <w:pPr>
              <w:pStyle w:val="48"/>
              <w:spacing w:line="360" w:lineRule="auto"/>
              <w:rPr>
                <w:rFonts w:ascii="仿宋" w:hAnsi="仿宋" w:eastAsia="仿宋" w:cs="仿宋"/>
                <w:color w:val="auto"/>
                <w:kern w:val="2"/>
              </w:rPr>
            </w:pPr>
            <w:r>
              <w:rPr>
                <w:rFonts w:hint="eastAsia" w:ascii="仿宋" w:hAnsi="仿宋" w:eastAsia="仿宋" w:cs="仿宋"/>
                <w:color w:val="auto"/>
                <w:kern w:val="2"/>
              </w:rPr>
              <w:t>1</w:t>
            </w:r>
            <w:r>
              <w:rPr>
                <w:rFonts w:ascii="仿宋" w:hAnsi="仿宋" w:eastAsia="仿宋" w:cs="仿宋"/>
                <w:color w:val="auto"/>
                <w:kern w:val="2"/>
              </w:rPr>
              <w:t>00</w:t>
            </w:r>
            <w:r>
              <w:rPr>
                <w:rFonts w:hint="eastAsia" w:ascii="仿宋" w:hAnsi="仿宋" w:eastAsia="仿宋" w:cs="仿宋"/>
                <w:color w:val="auto"/>
                <w:kern w:val="2"/>
              </w:rPr>
              <w:t>万-</w:t>
            </w:r>
            <w:r>
              <w:rPr>
                <w:rFonts w:ascii="仿宋" w:hAnsi="仿宋" w:eastAsia="仿宋" w:cs="仿宋"/>
                <w:color w:val="auto"/>
                <w:kern w:val="2"/>
              </w:rPr>
              <w:t>150</w:t>
            </w:r>
            <w:r>
              <w:rPr>
                <w:rFonts w:hint="eastAsia" w:ascii="仿宋" w:hAnsi="仿宋" w:eastAsia="仿宋" w:cs="仿宋"/>
                <w:color w:val="auto"/>
                <w:kern w:val="2"/>
              </w:rPr>
              <w:t>万：（1</w:t>
            </w:r>
            <w:r>
              <w:rPr>
                <w:rFonts w:ascii="仿宋" w:hAnsi="仿宋" w:eastAsia="仿宋" w:cs="仿宋"/>
                <w:color w:val="auto"/>
                <w:kern w:val="2"/>
              </w:rPr>
              <w:t>50</w:t>
            </w:r>
            <w:r>
              <w:rPr>
                <w:rFonts w:hint="eastAsia" w:ascii="仿宋" w:hAnsi="仿宋" w:eastAsia="仿宋" w:cs="仿宋"/>
                <w:color w:val="auto"/>
                <w:kern w:val="2"/>
              </w:rPr>
              <w:t>万-</w:t>
            </w:r>
            <w:r>
              <w:rPr>
                <w:rFonts w:ascii="仿宋" w:hAnsi="仿宋" w:eastAsia="仿宋" w:cs="仿宋"/>
                <w:color w:val="auto"/>
                <w:kern w:val="2"/>
              </w:rPr>
              <w:t>100</w:t>
            </w:r>
            <w:r>
              <w:rPr>
                <w:rFonts w:hint="eastAsia" w:ascii="仿宋" w:hAnsi="仿宋" w:eastAsia="仿宋" w:cs="仿宋"/>
                <w:color w:val="auto"/>
                <w:kern w:val="2"/>
              </w:rPr>
              <w:t>万）×1</w:t>
            </w:r>
            <w:r>
              <w:rPr>
                <w:rFonts w:ascii="仿宋" w:hAnsi="仿宋" w:eastAsia="仿宋" w:cs="仿宋"/>
                <w:color w:val="auto"/>
                <w:kern w:val="2"/>
              </w:rPr>
              <w:t>.1</w:t>
            </w:r>
            <w:r>
              <w:rPr>
                <w:rFonts w:hint="eastAsia" w:ascii="仿宋" w:hAnsi="仿宋" w:eastAsia="仿宋" w:cs="仿宋"/>
                <w:color w:val="auto"/>
                <w:kern w:val="2"/>
              </w:rPr>
              <w:t>%=</w:t>
            </w:r>
            <w:r>
              <w:rPr>
                <w:rFonts w:ascii="仿宋" w:hAnsi="仿宋" w:eastAsia="仿宋" w:cs="仿宋"/>
                <w:color w:val="auto"/>
                <w:kern w:val="2"/>
              </w:rPr>
              <w:t>5500</w:t>
            </w:r>
            <w:r>
              <w:rPr>
                <w:rFonts w:hint="eastAsia" w:ascii="仿宋" w:hAnsi="仿宋" w:eastAsia="仿宋" w:cs="仿宋"/>
                <w:color w:val="auto"/>
                <w:kern w:val="2"/>
              </w:rPr>
              <w:t>元</w:t>
            </w:r>
          </w:p>
          <w:p>
            <w:pPr>
              <w:pStyle w:val="48"/>
              <w:spacing w:line="360" w:lineRule="auto"/>
              <w:rPr>
                <w:rFonts w:ascii="仿宋" w:hAnsi="仿宋" w:eastAsia="仿宋" w:cs="仿宋"/>
                <w:color w:val="auto"/>
                <w:kern w:val="2"/>
              </w:rPr>
            </w:pPr>
            <w:r>
              <w:rPr>
                <w:rFonts w:hint="eastAsia" w:ascii="仿宋" w:hAnsi="仿宋" w:eastAsia="仿宋" w:cs="仿宋"/>
                <w:color w:val="auto"/>
                <w:kern w:val="2"/>
              </w:rPr>
              <w:t>代理服务费总计：1</w:t>
            </w:r>
            <w:r>
              <w:rPr>
                <w:rFonts w:ascii="仿宋" w:hAnsi="仿宋" w:eastAsia="仿宋" w:cs="仿宋"/>
                <w:color w:val="auto"/>
                <w:kern w:val="2"/>
              </w:rPr>
              <w:t>5000</w:t>
            </w:r>
            <w:r>
              <w:rPr>
                <w:rFonts w:hint="eastAsia" w:ascii="仿宋" w:hAnsi="仿宋" w:eastAsia="仿宋" w:cs="仿宋"/>
                <w:color w:val="auto"/>
                <w:kern w:val="2"/>
              </w:rPr>
              <w:t>+</w:t>
            </w:r>
            <w:r>
              <w:rPr>
                <w:rFonts w:ascii="仿宋" w:hAnsi="仿宋" w:eastAsia="仿宋" w:cs="仿宋"/>
                <w:color w:val="auto"/>
                <w:kern w:val="2"/>
              </w:rPr>
              <w:t>5500</w:t>
            </w:r>
            <w:r>
              <w:rPr>
                <w:rFonts w:hint="eastAsia" w:ascii="仿宋" w:hAnsi="仿宋" w:eastAsia="仿宋" w:cs="仿宋"/>
                <w:color w:val="auto"/>
                <w:kern w:val="2"/>
              </w:rPr>
              <w:t>=</w:t>
            </w:r>
            <w:r>
              <w:rPr>
                <w:rFonts w:ascii="仿宋" w:hAnsi="仿宋" w:eastAsia="仿宋" w:cs="仿宋"/>
                <w:color w:val="auto"/>
                <w:kern w:val="2"/>
              </w:rPr>
              <w:t>2</w:t>
            </w:r>
            <w:r>
              <w:rPr>
                <w:rFonts w:hint="eastAsia" w:ascii="仿宋" w:hAnsi="仿宋" w:eastAsia="仿宋" w:cs="仿宋"/>
                <w:color w:val="auto"/>
                <w:kern w:val="2"/>
              </w:rPr>
              <w:t>0500元</w:t>
            </w:r>
          </w:p>
          <w:tbl>
            <w:tblPr>
              <w:tblStyle w:val="26"/>
              <w:tblW w:w="6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5"/>
              <w:gridCol w:w="1182"/>
              <w:gridCol w:w="1330"/>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655" w:type="dxa"/>
                  <w:shd w:val="clear" w:color="auto" w:fill="auto"/>
                </w:tcPr>
                <w:p>
                  <w:pPr>
                    <w:rPr>
                      <w:rFonts w:ascii="仿宋" w:hAnsi="仿宋"/>
                      <w:color w:val="auto"/>
                    </w:rPr>
                  </w:pPr>
                  <w:bookmarkStart w:id="127" w:name="_GoBack" w:colFirst="0" w:colLast="3"/>
                  <w:r>
                    <w:rPr>
                      <w:rFonts w:hint="eastAsia" w:ascii="仿宋" w:hAnsi="仿宋"/>
                      <w:color w:val="auto"/>
                    </w:rPr>
                    <w:t>成交金额</w:t>
                  </w:r>
                </w:p>
              </w:tc>
              <w:tc>
                <w:tcPr>
                  <w:tcW w:w="1182" w:type="dxa"/>
                  <w:shd w:val="clear" w:color="auto" w:fill="auto"/>
                </w:tcPr>
                <w:p>
                  <w:pPr>
                    <w:rPr>
                      <w:rFonts w:ascii="仿宋" w:hAnsi="仿宋"/>
                      <w:color w:val="auto"/>
                    </w:rPr>
                  </w:pPr>
                  <w:r>
                    <w:rPr>
                      <w:rFonts w:hint="eastAsia" w:ascii="仿宋" w:hAnsi="仿宋"/>
                      <w:color w:val="auto"/>
                    </w:rPr>
                    <w:t>货物</w:t>
                  </w:r>
                </w:p>
              </w:tc>
              <w:tc>
                <w:tcPr>
                  <w:tcW w:w="1330" w:type="dxa"/>
                  <w:shd w:val="clear" w:color="auto" w:fill="auto"/>
                </w:tcPr>
                <w:p>
                  <w:pPr>
                    <w:rPr>
                      <w:rFonts w:ascii="仿宋" w:hAnsi="仿宋"/>
                      <w:color w:val="auto"/>
                    </w:rPr>
                  </w:pPr>
                  <w:r>
                    <w:rPr>
                      <w:rFonts w:hint="eastAsia" w:ascii="仿宋" w:hAnsi="仿宋"/>
                      <w:color w:val="auto"/>
                    </w:rPr>
                    <w:t>服务</w:t>
                  </w:r>
                </w:p>
              </w:tc>
              <w:tc>
                <w:tcPr>
                  <w:tcW w:w="1182" w:type="dxa"/>
                  <w:shd w:val="clear" w:color="auto" w:fill="auto"/>
                </w:tcPr>
                <w:p>
                  <w:pPr>
                    <w:rPr>
                      <w:rFonts w:ascii="仿宋" w:hAnsi="仿宋"/>
                      <w:color w:val="auto"/>
                    </w:rPr>
                  </w:pPr>
                  <w:r>
                    <w:rPr>
                      <w:rFonts w:hint="eastAsia" w:ascii="仿宋" w:hAnsi="仿宋"/>
                      <w:color w:val="auto"/>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655" w:type="dxa"/>
                  <w:shd w:val="clear" w:color="auto" w:fill="auto"/>
                </w:tcPr>
                <w:p>
                  <w:pPr>
                    <w:rPr>
                      <w:rFonts w:ascii="仿宋" w:hAnsi="仿宋"/>
                      <w:color w:val="auto"/>
                    </w:rPr>
                  </w:pPr>
                  <w:r>
                    <w:rPr>
                      <w:rFonts w:hint="eastAsia" w:ascii="仿宋" w:hAnsi="仿宋"/>
                      <w:color w:val="auto"/>
                    </w:rPr>
                    <w:t>100万以下</w:t>
                  </w:r>
                </w:p>
              </w:tc>
              <w:tc>
                <w:tcPr>
                  <w:tcW w:w="1182" w:type="dxa"/>
                  <w:shd w:val="clear" w:color="auto" w:fill="auto"/>
                </w:tcPr>
                <w:p>
                  <w:pPr>
                    <w:rPr>
                      <w:rFonts w:ascii="仿宋" w:hAnsi="仿宋"/>
                      <w:color w:val="auto"/>
                    </w:rPr>
                  </w:pPr>
                  <w:r>
                    <w:rPr>
                      <w:rFonts w:hint="eastAsia" w:ascii="仿宋" w:hAnsi="仿宋"/>
                      <w:color w:val="auto"/>
                    </w:rPr>
                    <w:t>1.5%</w:t>
                  </w:r>
                </w:p>
              </w:tc>
              <w:tc>
                <w:tcPr>
                  <w:tcW w:w="1330" w:type="dxa"/>
                  <w:shd w:val="clear" w:color="auto" w:fill="auto"/>
                  <w:vAlign w:val="center"/>
                </w:tcPr>
                <w:p>
                  <w:pPr>
                    <w:rPr>
                      <w:rFonts w:ascii="仿宋" w:hAnsi="仿宋"/>
                      <w:color w:val="auto"/>
                    </w:rPr>
                  </w:pPr>
                  <w:r>
                    <w:rPr>
                      <w:rFonts w:ascii="仿宋" w:hAnsi="仿宋"/>
                      <w:color w:val="auto"/>
                    </w:rPr>
                    <w:t>1.5%</w:t>
                  </w:r>
                </w:p>
              </w:tc>
              <w:tc>
                <w:tcPr>
                  <w:tcW w:w="1182" w:type="dxa"/>
                  <w:shd w:val="clear" w:color="auto" w:fill="auto"/>
                  <w:vAlign w:val="center"/>
                </w:tcPr>
                <w:p>
                  <w:pPr>
                    <w:rPr>
                      <w:rFonts w:ascii="仿宋" w:hAnsi="仿宋"/>
                      <w:color w:val="auto"/>
                    </w:rPr>
                  </w:pPr>
                  <w:r>
                    <w:rPr>
                      <w:rFonts w:hint="eastAsia" w:ascii="仿宋" w:hAnsi="仿宋"/>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5" w:type="dxa"/>
                  <w:shd w:val="clear" w:color="auto" w:fill="auto"/>
                </w:tcPr>
                <w:p>
                  <w:pPr>
                    <w:rPr>
                      <w:rFonts w:ascii="仿宋" w:hAnsi="仿宋"/>
                      <w:color w:val="auto"/>
                    </w:rPr>
                  </w:pPr>
                  <w:r>
                    <w:rPr>
                      <w:rFonts w:hint="eastAsia" w:ascii="仿宋" w:hAnsi="仿宋"/>
                      <w:color w:val="auto"/>
                    </w:rPr>
                    <w:t>100—500万</w:t>
                  </w:r>
                </w:p>
              </w:tc>
              <w:tc>
                <w:tcPr>
                  <w:tcW w:w="1182" w:type="dxa"/>
                  <w:shd w:val="clear" w:color="auto" w:fill="auto"/>
                </w:tcPr>
                <w:p>
                  <w:pPr>
                    <w:rPr>
                      <w:rFonts w:ascii="仿宋" w:hAnsi="仿宋"/>
                      <w:color w:val="auto"/>
                    </w:rPr>
                  </w:pPr>
                  <w:r>
                    <w:rPr>
                      <w:rFonts w:hint="eastAsia" w:ascii="仿宋" w:hAnsi="仿宋"/>
                      <w:color w:val="auto"/>
                    </w:rPr>
                    <w:t>1.1%</w:t>
                  </w:r>
                </w:p>
              </w:tc>
              <w:tc>
                <w:tcPr>
                  <w:tcW w:w="1330" w:type="dxa"/>
                  <w:shd w:val="clear" w:color="auto" w:fill="auto"/>
                  <w:vAlign w:val="center"/>
                </w:tcPr>
                <w:p>
                  <w:pPr>
                    <w:rPr>
                      <w:rFonts w:ascii="仿宋" w:hAnsi="仿宋"/>
                      <w:color w:val="auto"/>
                    </w:rPr>
                  </w:pPr>
                  <w:r>
                    <w:rPr>
                      <w:rFonts w:ascii="仿宋" w:hAnsi="仿宋"/>
                      <w:color w:val="auto"/>
                    </w:rPr>
                    <w:t>0.8%</w:t>
                  </w:r>
                </w:p>
              </w:tc>
              <w:tc>
                <w:tcPr>
                  <w:tcW w:w="1182" w:type="dxa"/>
                  <w:shd w:val="clear" w:color="auto" w:fill="auto"/>
                  <w:vAlign w:val="center"/>
                </w:tcPr>
                <w:p>
                  <w:pPr>
                    <w:rPr>
                      <w:rFonts w:ascii="仿宋" w:hAnsi="仿宋"/>
                      <w:color w:val="auto"/>
                    </w:rPr>
                  </w:pPr>
                  <w:r>
                    <w:rPr>
                      <w:rFonts w:hint="eastAsia" w:ascii="仿宋" w:hAnsi="仿宋"/>
                      <w:color w:val="auto"/>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655" w:type="dxa"/>
                  <w:shd w:val="clear" w:color="auto" w:fill="auto"/>
                </w:tcPr>
                <w:p>
                  <w:pPr>
                    <w:rPr>
                      <w:rFonts w:ascii="仿宋" w:hAnsi="仿宋"/>
                      <w:color w:val="auto"/>
                    </w:rPr>
                  </w:pPr>
                  <w:r>
                    <w:rPr>
                      <w:rFonts w:hint="eastAsia" w:ascii="仿宋" w:hAnsi="仿宋"/>
                      <w:color w:val="auto"/>
                    </w:rPr>
                    <w:t>500—1000万</w:t>
                  </w:r>
                </w:p>
              </w:tc>
              <w:tc>
                <w:tcPr>
                  <w:tcW w:w="1182" w:type="dxa"/>
                  <w:shd w:val="clear" w:color="auto" w:fill="auto"/>
                </w:tcPr>
                <w:p>
                  <w:pPr>
                    <w:rPr>
                      <w:rFonts w:ascii="仿宋" w:hAnsi="仿宋"/>
                      <w:color w:val="auto"/>
                    </w:rPr>
                  </w:pPr>
                  <w:r>
                    <w:rPr>
                      <w:rFonts w:hint="eastAsia" w:ascii="仿宋" w:hAnsi="仿宋"/>
                      <w:color w:val="auto"/>
                    </w:rPr>
                    <w:t>0.8%</w:t>
                  </w:r>
                </w:p>
              </w:tc>
              <w:tc>
                <w:tcPr>
                  <w:tcW w:w="1330" w:type="dxa"/>
                  <w:shd w:val="clear" w:color="auto" w:fill="auto"/>
                  <w:vAlign w:val="center"/>
                </w:tcPr>
                <w:p>
                  <w:pPr>
                    <w:rPr>
                      <w:rFonts w:ascii="仿宋" w:hAnsi="仿宋"/>
                      <w:color w:val="auto"/>
                    </w:rPr>
                  </w:pPr>
                  <w:r>
                    <w:rPr>
                      <w:rFonts w:ascii="仿宋" w:hAnsi="仿宋"/>
                      <w:color w:val="auto"/>
                    </w:rPr>
                    <w:t>0.45%</w:t>
                  </w:r>
                </w:p>
              </w:tc>
              <w:tc>
                <w:tcPr>
                  <w:tcW w:w="1182" w:type="dxa"/>
                  <w:shd w:val="clear" w:color="auto" w:fill="auto"/>
                  <w:vAlign w:val="center"/>
                </w:tcPr>
                <w:p>
                  <w:pPr>
                    <w:rPr>
                      <w:rFonts w:ascii="仿宋" w:hAnsi="仿宋"/>
                      <w:color w:val="auto"/>
                    </w:rPr>
                  </w:pPr>
                  <w:r>
                    <w:rPr>
                      <w:rFonts w:hint="eastAsia" w:ascii="仿宋" w:hAnsi="仿宋"/>
                      <w:color w:val="auto"/>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655" w:type="dxa"/>
                  <w:shd w:val="clear" w:color="auto" w:fill="auto"/>
                </w:tcPr>
                <w:p>
                  <w:pPr>
                    <w:rPr>
                      <w:rFonts w:ascii="仿宋" w:hAnsi="仿宋"/>
                      <w:color w:val="auto"/>
                    </w:rPr>
                  </w:pPr>
                  <w:r>
                    <w:rPr>
                      <w:rFonts w:ascii="仿宋" w:hAnsi="仿宋"/>
                      <w:color w:val="auto"/>
                    </w:rPr>
                    <w:t>10</w:t>
                  </w:r>
                  <w:r>
                    <w:rPr>
                      <w:rFonts w:hint="eastAsia" w:ascii="仿宋" w:hAnsi="仿宋"/>
                      <w:color w:val="auto"/>
                    </w:rPr>
                    <w:t>00—</w:t>
                  </w:r>
                  <w:r>
                    <w:rPr>
                      <w:rFonts w:ascii="仿宋" w:hAnsi="仿宋"/>
                      <w:color w:val="auto"/>
                    </w:rPr>
                    <w:t>5</w:t>
                  </w:r>
                  <w:r>
                    <w:rPr>
                      <w:rFonts w:hint="eastAsia" w:ascii="仿宋" w:hAnsi="仿宋"/>
                      <w:color w:val="auto"/>
                    </w:rPr>
                    <w:t>000万</w:t>
                  </w:r>
                </w:p>
              </w:tc>
              <w:tc>
                <w:tcPr>
                  <w:tcW w:w="1182" w:type="dxa"/>
                  <w:shd w:val="clear" w:color="auto" w:fill="auto"/>
                </w:tcPr>
                <w:p>
                  <w:pPr>
                    <w:rPr>
                      <w:rFonts w:ascii="仿宋" w:hAnsi="仿宋"/>
                      <w:color w:val="auto"/>
                    </w:rPr>
                  </w:pPr>
                  <w:r>
                    <w:rPr>
                      <w:rFonts w:ascii="仿宋" w:hAnsi="仿宋"/>
                      <w:color w:val="auto"/>
                    </w:rPr>
                    <w:t>0.475%</w:t>
                  </w:r>
                </w:p>
              </w:tc>
              <w:tc>
                <w:tcPr>
                  <w:tcW w:w="1330" w:type="dxa"/>
                  <w:shd w:val="clear" w:color="auto" w:fill="auto"/>
                  <w:vAlign w:val="center"/>
                </w:tcPr>
                <w:p>
                  <w:pPr>
                    <w:rPr>
                      <w:rFonts w:ascii="仿宋" w:hAnsi="仿宋"/>
                      <w:color w:val="auto"/>
                    </w:rPr>
                  </w:pPr>
                  <w:r>
                    <w:rPr>
                      <w:rFonts w:ascii="仿宋" w:hAnsi="仿宋"/>
                      <w:color w:val="auto"/>
                    </w:rPr>
                    <w:t>0.2375%</w:t>
                  </w:r>
                </w:p>
              </w:tc>
              <w:tc>
                <w:tcPr>
                  <w:tcW w:w="1182" w:type="dxa"/>
                  <w:shd w:val="clear" w:color="auto" w:fill="auto"/>
                  <w:vAlign w:val="center"/>
                </w:tcPr>
                <w:p>
                  <w:pPr>
                    <w:rPr>
                      <w:rFonts w:ascii="仿宋" w:hAnsi="仿宋"/>
                      <w:color w:val="auto"/>
                    </w:rPr>
                  </w:pPr>
                  <w:r>
                    <w:rPr>
                      <w:rFonts w:hint="eastAsia" w:ascii="仿宋" w:hAnsi="仿宋"/>
                      <w:color w:val="auto"/>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5" w:type="dxa"/>
                  <w:shd w:val="clear" w:color="auto" w:fill="auto"/>
                </w:tcPr>
                <w:p>
                  <w:pPr>
                    <w:rPr>
                      <w:rFonts w:ascii="仿宋" w:hAnsi="仿宋"/>
                      <w:color w:val="auto"/>
                    </w:rPr>
                  </w:pPr>
                  <w:r>
                    <w:rPr>
                      <w:rFonts w:hint="eastAsia" w:ascii="仿宋" w:hAnsi="仿宋"/>
                      <w:color w:val="auto"/>
                    </w:rPr>
                    <w:t>50</w:t>
                  </w:r>
                  <w:r>
                    <w:rPr>
                      <w:rFonts w:ascii="仿宋" w:hAnsi="仿宋"/>
                      <w:color w:val="auto"/>
                    </w:rPr>
                    <w:t>0</w:t>
                  </w:r>
                  <w:r>
                    <w:rPr>
                      <w:rFonts w:hint="eastAsia" w:ascii="仿宋" w:hAnsi="仿宋"/>
                      <w:color w:val="auto"/>
                    </w:rPr>
                    <w:t>0—100</w:t>
                  </w:r>
                  <w:r>
                    <w:rPr>
                      <w:rFonts w:ascii="仿宋" w:hAnsi="仿宋"/>
                      <w:color w:val="auto"/>
                    </w:rPr>
                    <w:t>0</w:t>
                  </w:r>
                  <w:r>
                    <w:rPr>
                      <w:rFonts w:hint="eastAsia" w:ascii="仿宋" w:hAnsi="仿宋"/>
                      <w:color w:val="auto"/>
                    </w:rPr>
                    <w:t>0万</w:t>
                  </w:r>
                </w:p>
              </w:tc>
              <w:tc>
                <w:tcPr>
                  <w:tcW w:w="1182" w:type="dxa"/>
                  <w:shd w:val="clear" w:color="auto" w:fill="auto"/>
                </w:tcPr>
                <w:p>
                  <w:pPr>
                    <w:rPr>
                      <w:rFonts w:ascii="仿宋" w:hAnsi="仿宋"/>
                      <w:color w:val="auto"/>
                    </w:rPr>
                  </w:pPr>
                  <w:r>
                    <w:rPr>
                      <w:rFonts w:ascii="仿宋" w:hAnsi="仿宋"/>
                      <w:color w:val="auto"/>
                    </w:rPr>
                    <w:t>0.225%</w:t>
                  </w:r>
                </w:p>
              </w:tc>
              <w:tc>
                <w:tcPr>
                  <w:tcW w:w="1330" w:type="dxa"/>
                  <w:shd w:val="clear" w:color="auto" w:fill="auto"/>
                  <w:vAlign w:val="center"/>
                </w:tcPr>
                <w:p>
                  <w:pPr>
                    <w:rPr>
                      <w:rFonts w:ascii="仿宋" w:hAnsi="仿宋"/>
                      <w:color w:val="auto"/>
                    </w:rPr>
                  </w:pPr>
                  <w:r>
                    <w:rPr>
                      <w:rFonts w:ascii="仿宋" w:hAnsi="仿宋"/>
                      <w:color w:val="auto"/>
                    </w:rPr>
                    <w:t>0.09%</w:t>
                  </w:r>
                </w:p>
              </w:tc>
              <w:tc>
                <w:tcPr>
                  <w:tcW w:w="1182" w:type="dxa"/>
                  <w:shd w:val="clear" w:color="auto" w:fill="auto"/>
                  <w:vAlign w:val="center"/>
                </w:tcPr>
                <w:p>
                  <w:pPr>
                    <w:rPr>
                      <w:rFonts w:ascii="仿宋" w:hAnsi="仿宋"/>
                      <w:color w:val="auto"/>
                    </w:rPr>
                  </w:pPr>
                  <w:r>
                    <w:rPr>
                      <w:rFonts w:hint="eastAsia" w:ascii="仿宋" w:hAnsi="仿宋"/>
                      <w:color w:val="auto"/>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655" w:type="dxa"/>
                  <w:shd w:val="clear" w:color="auto" w:fill="auto"/>
                </w:tcPr>
                <w:p>
                  <w:pPr>
                    <w:rPr>
                      <w:rFonts w:ascii="仿宋" w:hAnsi="仿宋"/>
                      <w:color w:val="auto"/>
                    </w:rPr>
                  </w:pPr>
                  <w:r>
                    <w:rPr>
                      <w:rFonts w:ascii="仿宋" w:hAnsi="仿宋"/>
                      <w:color w:val="auto"/>
                    </w:rPr>
                    <w:t>100</w:t>
                  </w:r>
                  <w:r>
                    <w:rPr>
                      <w:rFonts w:hint="eastAsia" w:ascii="仿宋" w:hAnsi="仿宋"/>
                      <w:color w:val="auto"/>
                    </w:rPr>
                    <w:t>00—</w:t>
                  </w:r>
                  <w:r>
                    <w:rPr>
                      <w:rFonts w:ascii="仿宋" w:hAnsi="仿宋"/>
                      <w:color w:val="auto"/>
                    </w:rPr>
                    <w:t>50</w:t>
                  </w:r>
                  <w:r>
                    <w:rPr>
                      <w:rFonts w:hint="eastAsia" w:ascii="仿宋" w:hAnsi="仿宋"/>
                      <w:color w:val="auto"/>
                    </w:rPr>
                    <w:t>000万</w:t>
                  </w:r>
                </w:p>
              </w:tc>
              <w:tc>
                <w:tcPr>
                  <w:tcW w:w="1182" w:type="dxa"/>
                  <w:shd w:val="clear" w:color="auto" w:fill="auto"/>
                </w:tcPr>
                <w:p>
                  <w:pPr>
                    <w:rPr>
                      <w:rFonts w:ascii="仿宋" w:hAnsi="仿宋"/>
                      <w:color w:val="auto"/>
                    </w:rPr>
                  </w:pPr>
                  <w:r>
                    <w:rPr>
                      <w:rFonts w:ascii="仿宋" w:hAnsi="仿宋"/>
                      <w:color w:val="auto"/>
                    </w:rPr>
                    <w:t>0.04%</w:t>
                  </w:r>
                </w:p>
              </w:tc>
              <w:tc>
                <w:tcPr>
                  <w:tcW w:w="1330" w:type="dxa"/>
                  <w:shd w:val="clear" w:color="auto" w:fill="auto"/>
                  <w:vAlign w:val="center"/>
                </w:tcPr>
                <w:p>
                  <w:pPr>
                    <w:rPr>
                      <w:rFonts w:ascii="仿宋" w:hAnsi="仿宋"/>
                      <w:color w:val="auto"/>
                    </w:rPr>
                  </w:pPr>
                  <w:r>
                    <w:rPr>
                      <w:rFonts w:ascii="仿宋" w:hAnsi="仿宋"/>
                      <w:color w:val="auto"/>
                    </w:rPr>
                    <w:t>0.04%</w:t>
                  </w:r>
                </w:p>
              </w:tc>
              <w:tc>
                <w:tcPr>
                  <w:tcW w:w="1182" w:type="dxa"/>
                  <w:shd w:val="clear" w:color="auto" w:fill="auto"/>
                  <w:vAlign w:val="center"/>
                </w:tcPr>
                <w:p>
                  <w:pPr>
                    <w:rPr>
                      <w:rFonts w:ascii="仿宋" w:hAnsi="仿宋"/>
                      <w:color w:val="auto"/>
                    </w:rPr>
                  </w:pPr>
                  <w:r>
                    <w:rPr>
                      <w:rFonts w:hint="eastAsia" w:ascii="仿宋" w:hAnsi="仿宋"/>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655" w:type="dxa"/>
                  <w:shd w:val="clear" w:color="auto" w:fill="auto"/>
                </w:tcPr>
                <w:p>
                  <w:pPr>
                    <w:rPr>
                      <w:rFonts w:ascii="仿宋" w:hAnsi="仿宋"/>
                      <w:color w:val="auto"/>
                    </w:rPr>
                  </w:pPr>
                  <w:r>
                    <w:rPr>
                      <w:rFonts w:hint="eastAsia" w:ascii="仿宋" w:hAnsi="仿宋"/>
                      <w:color w:val="auto"/>
                    </w:rPr>
                    <w:t>50</w:t>
                  </w:r>
                  <w:r>
                    <w:rPr>
                      <w:rFonts w:ascii="仿宋" w:hAnsi="仿宋"/>
                      <w:color w:val="auto"/>
                    </w:rPr>
                    <w:t>00</w:t>
                  </w:r>
                  <w:r>
                    <w:rPr>
                      <w:rFonts w:hint="eastAsia" w:ascii="仿宋" w:hAnsi="仿宋"/>
                      <w:color w:val="auto"/>
                    </w:rPr>
                    <w:t>0—1</w:t>
                  </w:r>
                  <w:r>
                    <w:rPr>
                      <w:rFonts w:ascii="仿宋" w:hAnsi="仿宋"/>
                      <w:color w:val="auto"/>
                    </w:rPr>
                    <w:t>00</w:t>
                  </w:r>
                  <w:r>
                    <w:rPr>
                      <w:rFonts w:hint="eastAsia" w:ascii="仿宋" w:hAnsi="仿宋"/>
                      <w:color w:val="auto"/>
                    </w:rPr>
                    <w:t>000万</w:t>
                  </w:r>
                </w:p>
              </w:tc>
              <w:tc>
                <w:tcPr>
                  <w:tcW w:w="1182" w:type="dxa"/>
                  <w:shd w:val="clear" w:color="auto" w:fill="auto"/>
                </w:tcPr>
                <w:p>
                  <w:pPr>
                    <w:rPr>
                      <w:rFonts w:ascii="仿宋" w:hAnsi="仿宋"/>
                      <w:color w:val="auto"/>
                    </w:rPr>
                  </w:pPr>
                  <w:r>
                    <w:rPr>
                      <w:rFonts w:ascii="仿宋" w:hAnsi="仿宋"/>
                      <w:color w:val="auto"/>
                    </w:rPr>
                    <w:t>0.035</w:t>
                  </w:r>
                  <w:r>
                    <w:rPr>
                      <w:rFonts w:hint="eastAsia" w:ascii="仿宋" w:hAnsi="仿宋"/>
                      <w:color w:val="auto"/>
                    </w:rPr>
                    <w:t>%</w:t>
                  </w:r>
                </w:p>
              </w:tc>
              <w:tc>
                <w:tcPr>
                  <w:tcW w:w="1330" w:type="dxa"/>
                  <w:shd w:val="clear" w:color="auto" w:fill="auto"/>
                  <w:vAlign w:val="center"/>
                </w:tcPr>
                <w:p>
                  <w:pPr>
                    <w:rPr>
                      <w:rFonts w:ascii="仿宋" w:hAnsi="仿宋"/>
                      <w:color w:val="auto"/>
                    </w:rPr>
                  </w:pPr>
                  <w:r>
                    <w:rPr>
                      <w:rFonts w:ascii="仿宋" w:hAnsi="仿宋"/>
                      <w:color w:val="auto"/>
                    </w:rPr>
                    <w:t>0.035%</w:t>
                  </w:r>
                </w:p>
              </w:tc>
              <w:tc>
                <w:tcPr>
                  <w:tcW w:w="1182" w:type="dxa"/>
                  <w:shd w:val="clear" w:color="auto" w:fill="auto"/>
                  <w:vAlign w:val="center"/>
                </w:tcPr>
                <w:p>
                  <w:pPr>
                    <w:rPr>
                      <w:rFonts w:ascii="仿宋" w:hAnsi="仿宋"/>
                      <w:color w:val="auto"/>
                    </w:rPr>
                  </w:pPr>
                  <w:r>
                    <w:rPr>
                      <w:rFonts w:hint="eastAsia" w:ascii="仿宋" w:hAnsi="仿宋"/>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5" w:type="dxa"/>
                  <w:shd w:val="clear" w:color="auto" w:fill="auto"/>
                </w:tcPr>
                <w:p>
                  <w:pPr>
                    <w:rPr>
                      <w:rFonts w:ascii="仿宋" w:hAnsi="仿宋"/>
                      <w:color w:val="auto"/>
                    </w:rPr>
                  </w:pPr>
                  <w:r>
                    <w:rPr>
                      <w:rFonts w:ascii="仿宋" w:hAnsi="仿宋"/>
                      <w:color w:val="auto"/>
                    </w:rPr>
                    <w:t>1000</w:t>
                  </w:r>
                  <w:r>
                    <w:rPr>
                      <w:rFonts w:hint="eastAsia" w:ascii="仿宋" w:hAnsi="仿宋"/>
                      <w:color w:val="auto"/>
                    </w:rPr>
                    <w:t>00—</w:t>
                  </w:r>
                  <w:r>
                    <w:rPr>
                      <w:rFonts w:ascii="仿宋" w:hAnsi="仿宋"/>
                      <w:color w:val="auto"/>
                    </w:rPr>
                    <w:t>500</w:t>
                  </w:r>
                  <w:r>
                    <w:rPr>
                      <w:rFonts w:hint="eastAsia" w:ascii="仿宋" w:hAnsi="仿宋"/>
                      <w:color w:val="auto"/>
                    </w:rPr>
                    <w:t>000万</w:t>
                  </w:r>
                </w:p>
              </w:tc>
              <w:tc>
                <w:tcPr>
                  <w:tcW w:w="1182" w:type="dxa"/>
                  <w:shd w:val="clear" w:color="auto" w:fill="auto"/>
                </w:tcPr>
                <w:p>
                  <w:pPr>
                    <w:rPr>
                      <w:rFonts w:ascii="仿宋" w:hAnsi="仿宋"/>
                      <w:color w:val="auto"/>
                    </w:rPr>
                  </w:pPr>
                  <w:r>
                    <w:rPr>
                      <w:rFonts w:ascii="仿宋" w:hAnsi="仿宋"/>
                      <w:color w:val="auto"/>
                    </w:rPr>
                    <w:t>0.006%</w:t>
                  </w:r>
                </w:p>
              </w:tc>
              <w:tc>
                <w:tcPr>
                  <w:tcW w:w="1330" w:type="dxa"/>
                  <w:shd w:val="clear" w:color="auto" w:fill="auto"/>
                  <w:vAlign w:val="center"/>
                </w:tcPr>
                <w:p>
                  <w:pPr>
                    <w:rPr>
                      <w:rFonts w:ascii="仿宋" w:hAnsi="仿宋"/>
                      <w:color w:val="auto"/>
                    </w:rPr>
                  </w:pPr>
                  <w:r>
                    <w:rPr>
                      <w:rFonts w:ascii="仿宋" w:hAnsi="仿宋"/>
                      <w:color w:val="auto"/>
                    </w:rPr>
                    <w:t>0.006%</w:t>
                  </w:r>
                </w:p>
              </w:tc>
              <w:tc>
                <w:tcPr>
                  <w:tcW w:w="1182" w:type="dxa"/>
                  <w:shd w:val="clear" w:color="auto" w:fill="auto"/>
                  <w:vAlign w:val="center"/>
                </w:tcPr>
                <w:p>
                  <w:pPr>
                    <w:rPr>
                      <w:rFonts w:ascii="仿宋" w:hAnsi="仿宋"/>
                      <w:color w:val="auto"/>
                    </w:rPr>
                  </w:pPr>
                  <w:r>
                    <w:rPr>
                      <w:rFonts w:hint="eastAsia" w:ascii="仿宋" w:hAnsi="仿宋"/>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655" w:type="dxa"/>
                  <w:shd w:val="clear" w:color="auto" w:fill="auto"/>
                </w:tcPr>
                <w:p>
                  <w:pPr>
                    <w:rPr>
                      <w:rFonts w:ascii="仿宋" w:hAnsi="仿宋"/>
                      <w:color w:val="auto"/>
                    </w:rPr>
                  </w:pPr>
                  <w:r>
                    <w:rPr>
                      <w:rFonts w:hint="eastAsia" w:ascii="仿宋" w:hAnsi="仿宋"/>
                      <w:color w:val="auto"/>
                    </w:rPr>
                    <w:t>50</w:t>
                  </w:r>
                  <w:r>
                    <w:rPr>
                      <w:rFonts w:ascii="仿宋" w:hAnsi="仿宋"/>
                      <w:color w:val="auto"/>
                    </w:rPr>
                    <w:t>000</w:t>
                  </w:r>
                  <w:r>
                    <w:rPr>
                      <w:rFonts w:hint="eastAsia" w:ascii="仿宋" w:hAnsi="仿宋"/>
                      <w:color w:val="auto"/>
                    </w:rPr>
                    <w:t>0—1000</w:t>
                  </w:r>
                  <w:r>
                    <w:rPr>
                      <w:rFonts w:ascii="仿宋" w:hAnsi="仿宋"/>
                      <w:color w:val="auto"/>
                    </w:rPr>
                    <w:t>000</w:t>
                  </w:r>
                  <w:r>
                    <w:rPr>
                      <w:rFonts w:hint="eastAsia" w:ascii="仿宋" w:hAnsi="仿宋"/>
                      <w:color w:val="auto"/>
                    </w:rPr>
                    <w:t>万</w:t>
                  </w:r>
                </w:p>
              </w:tc>
              <w:tc>
                <w:tcPr>
                  <w:tcW w:w="1182" w:type="dxa"/>
                  <w:shd w:val="clear" w:color="auto" w:fill="auto"/>
                </w:tcPr>
                <w:p>
                  <w:pPr>
                    <w:rPr>
                      <w:rFonts w:ascii="仿宋" w:hAnsi="仿宋"/>
                      <w:color w:val="auto"/>
                    </w:rPr>
                  </w:pPr>
                  <w:r>
                    <w:rPr>
                      <w:rFonts w:ascii="仿宋" w:hAnsi="仿宋"/>
                      <w:color w:val="auto"/>
                    </w:rPr>
                    <w:t>0.005%</w:t>
                  </w:r>
                </w:p>
              </w:tc>
              <w:tc>
                <w:tcPr>
                  <w:tcW w:w="1330" w:type="dxa"/>
                  <w:shd w:val="clear" w:color="auto" w:fill="auto"/>
                  <w:vAlign w:val="center"/>
                </w:tcPr>
                <w:p>
                  <w:pPr>
                    <w:rPr>
                      <w:rFonts w:ascii="仿宋" w:hAnsi="仿宋"/>
                      <w:color w:val="auto"/>
                    </w:rPr>
                  </w:pPr>
                  <w:r>
                    <w:rPr>
                      <w:rFonts w:ascii="仿宋" w:hAnsi="仿宋"/>
                      <w:color w:val="auto"/>
                    </w:rPr>
                    <w:t>0.005%</w:t>
                  </w:r>
                </w:p>
              </w:tc>
              <w:tc>
                <w:tcPr>
                  <w:tcW w:w="1182" w:type="dxa"/>
                  <w:shd w:val="clear" w:color="auto" w:fill="auto"/>
                  <w:vAlign w:val="center"/>
                </w:tcPr>
                <w:p>
                  <w:pPr>
                    <w:rPr>
                      <w:rFonts w:ascii="仿宋" w:hAnsi="仿宋"/>
                      <w:color w:val="auto"/>
                    </w:rPr>
                  </w:pPr>
                  <w:r>
                    <w:rPr>
                      <w:rFonts w:hint="eastAsia" w:ascii="仿宋" w:hAnsi="仿宋"/>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655" w:type="dxa"/>
                  <w:shd w:val="clear" w:color="auto" w:fill="auto"/>
                </w:tcPr>
                <w:p>
                  <w:pPr>
                    <w:rPr>
                      <w:rFonts w:ascii="仿宋" w:hAnsi="仿宋"/>
                      <w:color w:val="auto"/>
                    </w:rPr>
                  </w:pPr>
                  <w:r>
                    <w:rPr>
                      <w:rFonts w:hint="eastAsia" w:ascii="仿宋" w:hAnsi="仿宋"/>
                      <w:color w:val="auto"/>
                    </w:rPr>
                    <w:t>1000</w:t>
                  </w:r>
                  <w:r>
                    <w:rPr>
                      <w:rFonts w:ascii="仿宋" w:hAnsi="仿宋"/>
                      <w:color w:val="auto"/>
                    </w:rPr>
                    <w:t>000</w:t>
                  </w:r>
                  <w:r>
                    <w:rPr>
                      <w:rFonts w:hint="eastAsia" w:ascii="仿宋" w:hAnsi="仿宋"/>
                      <w:color w:val="auto"/>
                    </w:rPr>
                    <w:t>万以上</w:t>
                  </w:r>
                </w:p>
              </w:tc>
              <w:tc>
                <w:tcPr>
                  <w:tcW w:w="1182" w:type="dxa"/>
                  <w:shd w:val="clear" w:color="auto" w:fill="auto"/>
                </w:tcPr>
                <w:p>
                  <w:pPr>
                    <w:rPr>
                      <w:rFonts w:ascii="仿宋" w:hAnsi="仿宋"/>
                      <w:color w:val="auto"/>
                    </w:rPr>
                  </w:pPr>
                  <w:r>
                    <w:rPr>
                      <w:rFonts w:ascii="仿宋" w:hAnsi="仿宋"/>
                      <w:color w:val="auto"/>
                    </w:rPr>
                    <w:t>0.005%</w:t>
                  </w:r>
                </w:p>
              </w:tc>
              <w:tc>
                <w:tcPr>
                  <w:tcW w:w="1330" w:type="dxa"/>
                  <w:shd w:val="clear" w:color="auto" w:fill="auto"/>
                  <w:vAlign w:val="center"/>
                </w:tcPr>
                <w:p>
                  <w:pPr>
                    <w:rPr>
                      <w:rFonts w:ascii="仿宋" w:hAnsi="仿宋"/>
                      <w:color w:val="auto"/>
                    </w:rPr>
                  </w:pPr>
                  <w:r>
                    <w:rPr>
                      <w:rFonts w:ascii="仿宋" w:hAnsi="仿宋"/>
                      <w:color w:val="auto"/>
                    </w:rPr>
                    <w:t>0.005%</w:t>
                  </w:r>
                </w:p>
              </w:tc>
              <w:tc>
                <w:tcPr>
                  <w:tcW w:w="1182" w:type="dxa"/>
                  <w:shd w:val="clear" w:color="auto" w:fill="auto"/>
                  <w:vAlign w:val="center"/>
                </w:tcPr>
                <w:p>
                  <w:pPr>
                    <w:rPr>
                      <w:rFonts w:ascii="仿宋" w:hAnsi="仿宋"/>
                      <w:color w:val="auto"/>
                    </w:rPr>
                  </w:pPr>
                  <w:r>
                    <w:rPr>
                      <w:rFonts w:hint="eastAsia" w:ascii="仿宋" w:hAnsi="仿宋"/>
                      <w:color w:val="auto"/>
                    </w:rPr>
                    <w:t>0.01%</w:t>
                  </w:r>
                </w:p>
              </w:tc>
            </w:tr>
            <w:bookmarkEnd w:id="127"/>
          </w:tbl>
          <w:p>
            <w:pPr>
              <w:pStyle w:val="48"/>
              <w:spacing w:line="360" w:lineRule="auto"/>
              <w:ind w:left="74" w:leftChars="31"/>
              <w:rPr>
                <w:rFonts w:ascii="仿宋" w:hAnsi="仿宋" w:eastAsia="仿宋" w:cs="Courier New"/>
                <w:color w:val="auto"/>
                <w:lang w:val="zh-CN"/>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 w:hRule="atLeast"/>
          <w:jc w:val="center"/>
        </w:trPr>
        <w:tc>
          <w:tcPr>
            <w:tcW w:w="1007" w:type="dxa"/>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14</w:t>
            </w:r>
          </w:p>
        </w:tc>
        <w:tc>
          <w:tcPr>
            <w:tcW w:w="2018" w:type="dxa"/>
            <w:vAlign w:val="center"/>
          </w:tcPr>
          <w:p>
            <w:pPr>
              <w:pStyle w:val="48"/>
              <w:spacing w:line="360" w:lineRule="auto"/>
              <w:ind w:left="96"/>
              <w:jc w:val="center"/>
              <w:rPr>
                <w:rFonts w:ascii="仿宋" w:hAnsi="仿宋" w:eastAsia="仿宋" w:cs="Courier New"/>
                <w:b/>
                <w:color w:val="auto"/>
                <w:lang w:val="zh-CN"/>
              </w:rPr>
            </w:pPr>
            <w:r>
              <w:rPr>
                <w:rFonts w:hint="eastAsia" w:ascii="仿宋" w:hAnsi="仿宋" w:eastAsia="仿宋" w:cs="Times New Roman"/>
                <w:color w:val="auto"/>
                <w:kern w:val="2"/>
              </w:rPr>
              <w:t>答疑会和现场考察</w:t>
            </w:r>
          </w:p>
        </w:tc>
        <w:tc>
          <w:tcPr>
            <w:tcW w:w="6426" w:type="dxa"/>
            <w:vAlign w:val="center"/>
          </w:tcPr>
          <w:p>
            <w:pPr>
              <w:pStyle w:val="48"/>
              <w:spacing w:line="360" w:lineRule="auto"/>
              <w:ind w:left="74" w:leftChars="31"/>
              <w:jc w:val="both"/>
              <w:rPr>
                <w:rFonts w:ascii="仿宋" w:hAnsi="仿宋" w:eastAsia="仿宋"/>
                <w:color w:val="auto"/>
              </w:rPr>
            </w:pPr>
            <w:r>
              <w:rPr>
                <w:rFonts w:hint="eastAsia" w:ascii="仿宋" w:hAnsi="仿宋" w:eastAsia="仿宋"/>
                <w:bCs/>
                <w:color w:val="auto"/>
              </w:rPr>
              <w:t>□</w:t>
            </w:r>
            <w:r>
              <w:rPr>
                <w:rFonts w:hint="eastAsia" w:ascii="仿宋" w:hAnsi="仿宋" w:eastAsia="仿宋" w:cs="Times New Roman"/>
                <w:color w:val="auto"/>
                <w:kern w:val="2"/>
              </w:rPr>
              <w:t>统一组织</w:t>
            </w:r>
            <w:r>
              <w:rPr>
                <w:rFonts w:hint="eastAsia" w:ascii="仿宋" w:hAnsi="仿宋" w:eastAsia="仿宋"/>
                <w:color w:val="auto"/>
              </w:rPr>
              <w:t>答疑会和现场考察</w:t>
            </w:r>
          </w:p>
          <w:p>
            <w:pPr>
              <w:pStyle w:val="48"/>
              <w:spacing w:line="360" w:lineRule="auto"/>
              <w:ind w:left="74" w:leftChars="31"/>
              <w:jc w:val="both"/>
              <w:rPr>
                <w:rFonts w:ascii="仿宋" w:hAnsi="仿宋" w:eastAsia="仿宋"/>
                <w:color w:val="auto"/>
              </w:rPr>
            </w:pPr>
            <w:r>
              <w:rPr>
                <w:rFonts w:hint="eastAsia" w:ascii="仿宋" w:hAnsi="仿宋" w:eastAsia="仿宋"/>
                <w:color w:val="auto"/>
              </w:rPr>
              <w:t>联系人：</w:t>
            </w:r>
          </w:p>
          <w:p>
            <w:pPr>
              <w:pStyle w:val="48"/>
              <w:spacing w:line="360" w:lineRule="auto"/>
              <w:ind w:left="74" w:leftChars="31"/>
              <w:jc w:val="both"/>
              <w:rPr>
                <w:rFonts w:ascii="仿宋" w:hAnsi="仿宋" w:eastAsia="仿宋"/>
                <w:color w:val="auto"/>
              </w:rPr>
            </w:pPr>
            <w:r>
              <w:rPr>
                <w:rFonts w:hint="eastAsia" w:ascii="仿宋" w:hAnsi="仿宋" w:eastAsia="仿宋"/>
                <w:color w:val="auto"/>
              </w:rPr>
              <w:t>联系电话：</w:t>
            </w:r>
          </w:p>
          <w:p>
            <w:pPr>
              <w:pStyle w:val="48"/>
              <w:spacing w:line="360" w:lineRule="auto"/>
              <w:ind w:left="74" w:leftChars="31"/>
              <w:jc w:val="both"/>
              <w:rPr>
                <w:rFonts w:ascii="仿宋" w:hAnsi="仿宋" w:eastAsia="仿宋"/>
                <w:color w:val="auto"/>
              </w:rPr>
            </w:pPr>
            <w:r>
              <w:rPr>
                <w:rFonts w:hint="eastAsia" w:ascii="仿宋" w:hAnsi="仿宋" w:eastAsia="仿宋"/>
                <w:color w:val="auto"/>
              </w:rPr>
              <w:t>时间：</w:t>
            </w:r>
          </w:p>
          <w:p>
            <w:pPr>
              <w:pStyle w:val="48"/>
              <w:spacing w:line="360" w:lineRule="auto"/>
              <w:ind w:left="74" w:leftChars="31"/>
              <w:jc w:val="both"/>
              <w:rPr>
                <w:rFonts w:ascii="仿宋" w:hAnsi="仿宋" w:eastAsia="仿宋"/>
                <w:color w:val="auto"/>
              </w:rPr>
            </w:pPr>
            <w:r>
              <w:rPr>
                <w:rFonts w:hint="eastAsia" w:ascii="仿宋" w:hAnsi="仿宋" w:eastAsia="仿宋"/>
                <w:color w:val="auto"/>
              </w:rPr>
              <w:t>地点：</w:t>
            </w:r>
          </w:p>
          <w:p>
            <w:pPr>
              <w:pStyle w:val="48"/>
              <w:spacing w:line="360" w:lineRule="auto"/>
              <w:ind w:left="74" w:leftChars="1" w:hanging="72" w:hangingChars="30"/>
              <w:jc w:val="both"/>
              <w:rPr>
                <w:rFonts w:ascii="仿宋" w:hAnsi="仿宋" w:eastAsia="仿宋"/>
                <w:color w:val="auto"/>
              </w:rPr>
            </w:pPr>
            <w:r>
              <w:rPr>
                <w:rFonts w:hint="eastAsia" w:ascii="仿宋" w:hAnsi="仿宋" w:eastAsia="仿宋"/>
                <w:bCs/>
                <w:color w:val="auto"/>
              </w:rPr>
              <w:t>■</w:t>
            </w:r>
            <w:r>
              <w:rPr>
                <w:rFonts w:hint="eastAsia" w:ascii="仿宋" w:hAnsi="仿宋" w:eastAsia="仿宋"/>
                <w:color w:val="auto"/>
              </w:rPr>
              <w:t>供应商自行现场考察（如需要）</w:t>
            </w:r>
          </w:p>
          <w:p>
            <w:pPr>
              <w:pStyle w:val="48"/>
              <w:spacing w:line="360" w:lineRule="auto"/>
              <w:ind w:left="74" w:leftChars="1" w:hanging="72" w:hangingChars="30"/>
              <w:rPr>
                <w:rFonts w:ascii="仿宋" w:hAnsi="仿宋" w:eastAsia="仿宋"/>
                <w:color w:val="auto"/>
                <w:lang w:val="zh-CN"/>
              </w:rPr>
            </w:pPr>
            <w:r>
              <w:rPr>
                <w:rFonts w:hint="eastAsia" w:ascii="仿宋" w:hAnsi="仿宋" w:eastAsia="仿宋"/>
                <w:color w:val="auto"/>
                <w:lang w:val="zh-CN"/>
              </w:rPr>
              <w:t>联 系 人：林燕</w:t>
            </w:r>
          </w:p>
          <w:p>
            <w:pPr>
              <w:pStyle w:val="48"/>
              <w:spacing w:line="360" w:lineRule="auto"/>
              <w:rPr>
                <w:rFonts w:ascii="仿宋" w:hAnsi="仿宋" w:eastAsia="仿宋" w:cs="Courier New"/>
                <w:color w:val="auto"/>
                <w:lang w:val="zh-CN"/>
              </w:rPr>
            </w:pPr>
            <w:r>
              <w:rPr>
                <w:rFonts w:hint="eastAsia" w:ascii="仿宋" w:hAnsi="仿宋" w:eastAsia="仿宋"/>
                <w:color w:val="auto"/>
                <w:lang w:val="zh-CN"/>
              </w:rPr>
              <w:t>联系电话：18989289712</w:t>
            </w:r>
            <w:r>
              <w:rPr>
                <w:rFonts w:ascii="仿宋" w:hAnsi="仿宋" w:eastAsia="仿宋"/>
                <w:color w:val="auto"/>
                <w:lang w:val="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 w:hRule="atLeast"/>
          <w:jc w:val="center"/>
        </w:trPr>
        <w:tc>
          <w:tcPr>
            <w:tcW w:w="1007" w:type="dxa"/>
            <w:vAlign w:val="center"/>
          </w:tcPr>
          <w:p>
            <w:pPr>
              <w:pStyle w:val="48"/>
              <w:spacing w:line="360" w:lineRule="auto"/>
              <w:ind w:right="230"/>
              <w:jc w:val="center"/>
              <w:rPr>
                <w:rFonts w:ascii="仿宋" w:hAnsi="仿宋" w:eastAsia="仿宋" w:cs="Courier New"/>
                <w:color w:val="auto"/>
                <w:lang w:val="zh-CN"/>
              </w:rPr>
            </w:pPr>
            <w:r>
              <w:rPr>
                <w:rFonts w:hint="eastAsia" w:ascii="仿宋" w:hAnsi="仿宋" w:eastAsia="仿宋" w:cs="Courier New"/>
                <w:color w:val="auto"/>
                <w:lang w:val="zh-CN"/>
              </w:rPr>
              <w:t>15</w:t>
            </w:r>
          </w:p>
        </w:tc>
        <w:tc>
          <w:tcPr>
            <w:tcW w:w="2018" w:type="dxa"/>
            <w:vAlign w:val="center"/>
          </w:tcPr>
          <w:p>
            <w:pPr>
              <w:pStyle w:val="48"/>
              <w:spacing w:line="360" w:lineRule="auto"/>
              <w:ind w:left="96"/>
              <w:jc w:val="center"/>
              <w:rPr>
                <w:rFonts w:ascii="仿宋" w:hAnsi="仿宋" w:eastAsia="仿宋" w:cs="Courier New"/>
                <w:b/>
                <w:color w:val="auto"/>
                <w:lang w:val="zh-CN"/>
              </w:rPr>
            </w:pPr>
            <w:r>
              <w:rPr>
                <w:rFonts w:hint="eastAsia" w:ascii="仿宋" w:hAnsi="仿宋" w:eastAsia="仿宋" w:cs="Courier New"/>
                <w:b/>
                <w:color w:val="auto"/>
                <w:lang w:val="zh-CN"/>
              </w:rPr>
              <w:t>其他（实质性要求）</w:t>
            </w:r>
          </w:p>
        </w:tc>
        <w:tc>
          <w:tcPr>
            <w:tcW w:w="6426" w:type="dxa"/>
            <w:vAlign w:val="center"/>
          </w:tcPr>
          <w:p>
            <w:pPr>
              <w:pStyle w:val="48"/>
              <w:numPr>
                <w:ilvl w:val="0"/>
                <w:numId w:val="2"/>
              </w:numPr>
              <w:spacing w:line="360" w:lineRule="auto"/>
              <w:rPr>
                <w:rFonts w:ascii="仿宋" w:hAnsi="仿宋" w:eastAsia="仿宋" w:cs="Times New Roman"/>
                <w:color w:val="auto"/>
                <w:kern w:val="2"/>
              </w:rPr>
            </w:pPr>
            <w:r>
              <w:rPr>
                <w:rFonts w:hint="eastAsia" w:ascii="仿宋" w:hAnsi="仿宋" w:eastAsia="仿宋" w:cs="Times New Roman"/>
                <w:color w:val="auto"/>
                <w:kern w:val="2"/>
              </w:rPr>
              <w:t>供应商的股东或实际控制人、重要任职人员中是否有中国工程物理研究院职工（含离、退休职工）及其家庭成员、主要社会关系人，应在响应文件中提供说明材料（中国工程物理研究院下属事业单位除外），格式见采购文件第五章。</w:t>
            </w:r>
          </w:p>
          <w:p>
            <w:pPr>
              <w:pStyle w:val="48"/>
              <w:numPr>
                <w:ilvl w:val="0"/>
                <w:numId w:val="2"/>
              </w:numPr>
              <w:spacing w:line="360" w:lineRule="auto"/>
              <w:rPr>
                <w:rFonts w:ascii="仿宋" w:hAnsi="仿宋" w:eastAsia="仿宋" w:cs="Courier New"/>
                <w:color w:val="auto"/>
                <w:lang w:val="zh-CN"/>
              </w:rPr>
            </w:pPr>
            <w:r>
              <w:rPr>
                <w:rFonts w:hint="eastAsia" w:ascii="仿宋" w:hAnsi="仿宋" w:eastAsia="仿宋" w:cs="Times New Roman"/>
                <w:color w:val="auto"/>
                <w:kern w:val="2"/>
              </w:rPr>
              <w:t>供应商需在响应文件中提供“供应商廉洁承诺书”，格式见采购文件第五章。</w:t>
            </w:r>
          </w:p>
        </w:tc>
      </w:tr>
    </w:tbl>
    <w:p>
      <w:pPr>
        <w:pStyle w:val="3"/>
        <w:keepNext w:val="0"/>
        <w:keepLines w:val="0"/>
        <w:spacing w:before="0" w:after="0" w:line="360" w:lineRule="auto"/>
        <w:ind w:firstLine="3855" w:firstLineChars="1200"/>
        <w:rPr>
          <w:rFonts w:ascii="仿宋" w:hAnsi="仿宋" w:eastAsia="仿宋"/>
          <w:bCs w:val="0"/>
          <w:color w:val="auto"/>
        </w:rPr>
      </w:pPr>
    </w:p>
    <w:p>
      <w:pPr>
        <w:pStyle w:val="3"/>
        <w:keepNext w:val="0"/>
        <w:keepLines w:val="0"/>
        <w:spacing w:before="0" w:after="0" w:line="360" w:lineRule="auto"/>
        <w:ind w:firstLine="3855" w:firstLineChars="1200"/>
        <w:rPr>
          <w:rFonts w:ascii="仿宋" w:hAnsi="仿宋" w:eastAsia="仿宋"/>
          <w:bCs w:val="0"/>
          <w:color w:val="auto"/>
        </w:rPr>
      </w:pPr>
      <w:r>
        <w:rPr>
          <w:rFonts w:hint="eastAsia" w:ascii="仿宋" w:hAnsi="仿宋" w:eastAsia="仿宋"/>
          <w:bCs w:val="0"/>
          <w:color w:val="auto"/>
        </w:rPr>
        <w:t>二、总  则</w:t>
      </w:r>
    </w:p>
    <w:p>
      <w:pPr>
        <w:pStyle w:val="4"/>
        <w:keepNext w:val="0"/>
        <w:keepLines w:val="0"/>
        <w:spacing w:before="0" w:after="0" w:line="360" w:lineRule="auto"/>
        <w:ind w:firstLine="482" w:firstLineChars="200"/>
        <w:rPr>
          <w:rFonts w:ascii="仿宋" w:hAnsi="仿宋"/>
          <w:color w:val="auto"/>
          <w:sz w:val="24"/>
        </w:rPr>
      </w:pPr>
      <w:bookmarkStart w:id="17" w:name="PO_默认文件内容_22"/>
      <w:bookmarkStart w:id="18" w:name="_Toc77400782"/>
      <w:bookmarkStart w:id="19" w:name="_Toc183682368"/>
      <w:bookmarkStart w:id="20" w:name="_Toc217446056"/>
      <w:bookmarkStart w:id="21" w:name="_Toc89075878"/>
      <w:bookmarkStart w:id="22" w:name="_Toc183582231"/>
      <w:r>
        <w:rPr>
          <w:rFonts w:hint="eastAsia" w:ascii="仿宋" w:hAnsi="仿宋"/>
          <w:color w:val="auto"/>
          <w:sz w:val="24"/>
        </w:rPr>
        <w:t>1</w:t>
      </w:r>
      <w:r>
        <w:rPr>
          <w:rFonts w:ascii="仿宋" w:hAnsi="仿宋"/>
          <w:color w:val="auto"/>
          <w:sz w:val="24"/>
        </w:rPr>
        <w:t>.</w:t>
      </w:r>
      <w:r>
        <w:rPr>
          <w:rFonts w:hint="eastAsia" w:ascii="仿宋" w:hAnsi="仿宋"/>
          <w:color w:val="auto"/>
          <w:sz w:val="24"/>
          <w:szCs w:val="24"/>
        </w:rPr>
        <w:t>适用范围</w:t>
      </w:r>
    </w:p>
    <w:p>
      <w:pPr>
        <w:tabs>
          <w:tab w:val="left" w:pos="7665"/>
        </w:tabs>
        <w:ind w:firstLine="480" w:firstLineChars="200"/>
        <w:rPr>
          <w:rFonts w:ascii="仿宋" w:hAnsi="仿宋"/>
          <w:color w:val="auto"/>
        </w:rPr>
      </w:pPr>
      <w:r>
        <w:rPr>
          <w:rFonts w:hint="eastAsia" w:ascii="仿宋" w:hAnsi="仿宋"/>
          <w:color w:val="auto"/>
        </w:rPr>
        <w:t>1</w:t>
      </w:r>
      <w:r>
        <w:rPr>
          <w:rFonts w:ascii="仿宋" w:hAnsi="仿宋"/>
          <w:color w:val="auto"/>
        </w:rPr>
        <w:t>.</w:t>
      </w:r>
      <w:r>
        <w:rPr>
          <w:rFonts w:hint="eastAsia" w:ascii="仿宋" w:hAnsi="仿宋"/>
          <w:color w:val="auto"/>
        </w:rPr>
        <w:t>1 本询比文件仅适用于本次询比采购项目。</w:t>
      </w:r>
    </w:p>
    <w:p>
      <w:pPr>
        <w:tabs>
          <w:tab w:val="left" w:pos="7665"/>
        </w:tabs>
        <w:ind w:firstLine="480" w:firstLineChars="200"/>
        <w:rPr>
          <w:rFonts w:ascii="仿宋" w:hAnsi="仿宋"/>
          <w:color w:val="auto"/>
        </w:rPr>
      </w:pPr>
      <w:r>
        <w:rPr>
          <w:rFonts w:hint="eastAsia" w:ascii="仿宋" w:hAnsi="仿宋"/>
          <w:color w:val="auto"/>
        </w:rPr>
        <w:t>1.2 本询比文件的解释权归采购人和采购代理机构所有。</w:t>
      </w:r>
      <w:bookmarkEnd w:id="17"/>
      <w:bookmarkStart w:id="23" w:name="_Toc183582206"/>
      <w:bookmarkStart w:id="24" w:name="_Toc217446035"/>
      <w:bookmarkStart w:id="25" w:name="_Toc183682343"/>
    </w:p>
    <w:p>
      <w:pPr>
        <w:pStyle w:val="4"/>
        <w:keepNext w:val="0"/>
        <w:keepLines w:val="0"/>
        <w:spacing w:before="0" w:after="0" w:line="360" w:lineRule="auto"/>
        <w:ind w:firstLine="482" w:firstLineChars="200"/>
        <w:rPr>
          <w:rFonts w:ascii="仿宋" w:hAnsi="仿宋"/>
          <w:color w:val="auto"/>
          <w:sz w:val="24"/>
        </w:rPr>
      </w:pPr>
      <w:r>
        <w:rPr>
          <w:rFonts w:ascii="仿宋" w:hAnsi="仿宋"/>
          <w:color w:val="auto"/>
          <w:sz w:val="24"/>
        </w:rPr>
        <w:t>2.</w:t>
      </w:r>
      <w:bookmarkEnd w:id="23"/>
      <w:bookmarkEnd w:id="24"/>
      <w:bookmarkEnd w:id="25"/>
      <w:r>
        <w:rPr>
          <w:rFonts w:hint="eastAsia" w:ascii="仿宋" w:hAnsi="仿宋"/>
          <w:color w:val="auto"/>
          <w:sz w:val="24"/>
        </w:rPr>
        <w:t>采购主体</w:t>
      </w:r>
    </w:p>
    <w:p>
      <w:pPr>
        <w:tabs>
          <w:tab w:val="left" w:pos="7665"/>
        </w:tabs>
        <w:ind w:firstLine="480" w:firstLineChars="200"/>
        <w:rPr>
          <w:rFonts w:ascii="仿宋" w:hAnsi="仿宋"/>
          <w:color w:val="auto"/>
        </w:rPr>
      </w:pPr>
      <w:r>
        <w:rPr>
          <w:rFonts w:hint="eastAsia" w:ascii="仿宋" w:hAnsi="仿宋"/>
          <w:color w:val="auto"/>
        </w:rPr>
        <w:t>2</w:t>
      </w:r>
      <w:r>
        <w:rPr>
          <w:rFonts w:ascii="仿宋" w:hAnsi="仿宋"/>
          <w:color w:val="auto"/>
        </w:rPr>
        <w:t>.</w:t>
      </w:r>
      <w:r>
        <w:rPr>
          <w:rFonts w:hint="eastAsia" w:ascii="仿宋" w:hAnsi="仿宋"/>
          <w:color w:val="auto"/>
        </w:rPr>
        <w:t>1本次询比的采购人名称</w:t>
      </w:r>
      <w:r>
        <w:rPr>
          <w:rFonts w:hint="eastAsia" w:ascii="仿宋" w:hAnsi="仿宋"/>
          <w:b/>
          <w:color w:val="auto"/>
          <w:u w:val="single"/>
        </w:rPr>
        <w:t>详见询比邀请</w:t>
      </w:r>
      <w:r>
        <w:rPr>
          <w:rFonts w:hint="eastAsia" w:ascii="仿宋" w:hAnsi="仿宋"/>
          <w:color w:val="auto"/>
        </w:rPr>
        <w:t>。</w:t>
      </w:r>
    </w:p>
    <w:p>
      <w:pPr>
        <w:tabs>
          <w:tab w:val="left" w:pos="7665"/>
        </w:tabs>
        <w:ind w:firstLine="480" w:firstLineChars="200"/>
        <w:rPr>
          <w:rFonts w:ascii="仿宋" w:hAnsi="仿宋"/>
          <w:color w:val="auto"/>
        </w:rPr>
      </w:pPr>
      <w:bookmarkStart w:id="26" w:name="PO_默认文件内容_23"/>
      <w:r>
        <w:rPr>
          <w:rFonts w:hint="eastAsia" w:ascii="仿宋" w:hAnsi="仿宋"/>
          <w:color w:val="auto"/>
        </w:rPr>
        <w:t>2</w:t>
      </w:r>
      <w:r>
        <w:rPr>
          <w:rFonts w:ascii="仿宋" w:hAnsi="仿宋"/>
          <w:color w:val="auto"/>
        </w:rPr>
        <w:t>.</w:t>
      </w:r>
      <w:r>
        <w:rPr>
          <w:rFonts w:hint="eastAsia" w:ascii="仿宋" w:hAnsi="仿宋"/>
          <w:color w:val="auto"/>
        </w:rPr>
        <w:t>2本次询比的采购代理机构是</w:t>
      </w:r>
      <w:r>
        <w:rPr>
          <w:rFonts w:hint="eastAsia" w:ascii="仿宋" w:hAnsi="仿宋"/>
          <w:b/>
          <w:color w:val="auto"/>
          <w:u w:val="single"/>
        </w:rPr>
        <w:t>新华招标有限公司</w:t>
      </w:r>
      <w:r>
        <w:rPr>
          <w:rFonts w:hint="eastAsia" w:ascii="仿宋" w:hAnsi="仿宋"/>
          <w:color w:val="auto"/>
        </w:rPr>
        <w:t>。</w:t>
      </w:r>
    </w:p>
    <w:p>
      <w:pPr>
        <w:pStyle w:val="4"/>
        <w:keepNext w:val="0"/>
        <w:keepLines w:val="0"/>
        <w:spacing w:before="0" w:after="0" w:line="360" w:lineRule="auto"/>
        <w:ind w:firstLine="482" w:firstLineChars="200"/>
        <w:rPr>
          <w:rFonts w:ascii="仿宋" w:hAnsi="仿宋"/>
          <w:color w:val="auto"/>
          <w:sz w:val="24"/>
        </w:rPr>
      </w:pPr>
      <w:bookmarkStart w:id="27" w:name="_Toc217390843"/>
      <w:bookmarkStart w:id="28" w:name="_Toc183582207"/>
      <w:bookmarkStart w:id="29" w:name="_Toc183682344"/>
      <w:bookmarkStart w:id="30" w:name="_Toc217446036"/>
      <w:r>
        <w:rPr>
          <w:rFonts w:ascii="仿宋" w:hAnsi="仿宋"/>
          <w:color w:val="auto"/>
          <w:sz w:val="24"/>
        </w:rPr>
        <w:t>3.</w:t>
      </w:r>
      <w:r>
        <w:rPr>
          <w:rFonts w:hint="eastAsia" w:ascii="仿宋" w:hAnsi="仿宋"/>
          <w:color w:val="auto"/>
          <w:sz w:val="24"/>
        </w:rPr>
        <w:t xml:space="preserve"> 合格</w:t>
      </w:r>
      <w:bookmarkEnd w:id="27"/>
      <w:bookmarkEnd w:id="28"/>
      <w:bookmarkEnd w:id="29"/>
      <w:bookmarkEnd w:id="30"/>
      <w:r>
        <w:rPr>
          <w:rFonts w:hint="eastAsia" w:ascii="仿宋" w:hAnsi="仿宋"/>
          <w:color w:val="auto"/>
          <w:sz w:val="24"/>
        </w:rPr>
        <w:t>供应商（实质性要求）</w:t>
      </w:r>
    </w:p>
    <w:p>
      <w:pPr>
        <w:tabs>
          <w:tab w:val="left" w:pos="7665"/>
        </w:tabs>
        <w:rPr>
          <w:rFonts w:ascii="仿宋" w:hAnsi="仿宋"/>
          <w:color w:val="auto"/>
        </w:rPr>
      </w:pPr>
      <w:r>
        <w:rPr>
          <w:rFonts w:hint="eastAsia" w:ascii="仿宋" w:hAnsi="仿宋"/>
          <w:color w:val="auto"/>
        </w:rPr>
        <w:t>合格供应商应具备以下条件：</w:t>
      </w:r>
    </w:p>
    <w:p>
      <w:pPr>
        <w:tabs>
          <w:tab w:val="left" w:pos="7665"/>
        </w:tabs>
        <w:ind w:firstLine="480" w:firstLineChars="200"/>
        <w:rPr>
          <w:rFonts w:ascii="仿宋" w:hAnsi="仿宋"/>
          <w:color w:val="auto"/>
        </w:rPr>
      </w:pPr>
      <w:r>
        <w:rPr>
          <w:rFonts w:hint="eastAsia" w:ascii="仿宋" w:hAnsi="仿宋"/>
          <w:color w:val="auto"/>
        </w:rPr>
        <w:t>3.1 具备法律法规和本采购文件规定的资格条件；</w:t>
      </w:r>
    </w:p>
    <w:p>
      <w:pPr>
        <w:tabs>
          <w:tab w:val="left" w:pos="7665"/>
        </w:tabs>
        <w:ind w:firstLine="480" w:firstLineChars="200"/>
        <w:rPr>
          <w:rFonts w:ascii="仿宋" w:hAnsi="仿宋"/>
          <w:color w:val="auto"/>
        </w:rPr>
      </w:pPr>
      <w:r>
        <w:rPr>
          <w:rFonts w:hint="eastAsia" w:ascii="仿宋" w:hAnsi="仿宋"/>
          <w:color w:val="auto"/>
        </w:rPr>
        <w:t>3.2 不属于禁止参加本项目采购活动的供应商；</w:t>
      </w:r>
    </w:p>
    <w:p>
      <w:pPr>
        <w:tabs>
          <w:tab w:val="left" w:pos="7665"/>
        </w:tabs>
        <w:ind w:firstLine="480" w:firstLineChars="200"/>
        <w:rPr>
          <w:rFonts w:ascii="仿宋" w:hAnsi="仿宋"/>
          <w:color w:val="auto"/>
        </w:rPr>
      </w:pPr>
      <w:r>
        <w:rPr>
          <w:rFonts w:hint="eastAsia" w:ascii="仿宋" w:hAnsi="仿宋"/>
          <w:color w:val="auto"/>
        </w:rPr>
        <w:t>3.3按规定获取了询比文件，属于实质性参加采购活动的供应商。</w:t>
      </w:r>
      <w:bookmarkStart w:id="31" w:name="_Toc217446037"/>
      <w:bookmarkStart w:id="32" w:name="_Toc183682345"/>
      <w:bookmarkStart w:id="33" w:name="_Toc183582208"/>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4.费用</w:t>
      </w:r>
      <w:bookmarkEnd w:id="31"/>
      <w:bookmarkEnd w:id="32"/>
      <w:bookmarkEnd w:id="33"/>
      <w:r>
        <w:rPr>
          <w:rFonts w:hint="eastAsia" w:ascii="仿宋" w:hAnsi="仿宋"/>
          <w:color w:val="auto"/>
          <w:sz w:val="24"/>
        </w:rPr>
        <w:t>（实质性要求）</w:t>
      </w:r>
    </w:p>
    <w:p>
      <w:pPr>
        <w:tabs>
          <w:tab w:val="left" w:pos="7665"/>
        </w:tabs>
        <w:ind w:firstLine="480"/>
        <w:rPr>
          <w:rFonts w:ascii="仿宋" w:hAnsi="仿宋"/>
          <w:color w:val="auto"/>
        </w:rPr>
      </w:pPr>
      <w:r>
        <w:rPr>
          <w:rFonts w:hint="eastAsia" w:ascii="仿宋" w:hAnsi="仿宋"/>
          <w:color w:val="auto"/>
        </w:rPr>
        <w:t>供应商应自行承担参加询比活动的全部费用。</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5.充分、公平竞争保障措施（实质性要求）</w:t>
      </w:r>
    </w:p>
    <w:p>
      <w:pPr>
        <w:pStyle w:val="45"/>
        <w:spacing w:line="360" w:lineRule="auto"/>
        <w:ind w:left="1" w:firstLine="480" w:firstLineChars="200"/>
        <w:rPr>
          <w:rFonts w:ascii="仿宋" w:hAnsi="仿宋" w:eastAsia="仿宋"/>
          <w:color w:val="auto"/>
          <w:sz w:val="24"/>
        </w:rPr>
      </w:pPr>
      <w:r>
        <w:rPr>
          <w:rFonts w:hint="eastAsia" w:ascii="仿宋" w:hAnsi="仿宋" w:eastAsia="仿宋"/>
          <w:color w:val="auto"/>
          <w:sz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pPr>
        <w:pStyle w:val="45"/>
        <w:spacing w:line="360" w:lineRule="auto"/>
        <w:ind w:left="1" w:firstLine="480" w:firstLineChars="200"/>
        <w:rPr>
          <w:rFonts w:ascii="仿宋" w:hAnsi="仿宋" w:eastAsia="仿宋"/>
          <w:color w:val="auto"/>
          <w:sz w:val="24"/>
        </w:rPr>
      </w:pPr>
      <w:r>
        <w:rPr>
          <w:rFonts w:hint="eastAsia" w:ascii="仿宋" w:hAnsi="仿宋" w:eastAsia="仿宋"/>
          <w:color w:val="auto"/>
          <w:sz w:val="24"/>
        </w:rPr>
        <w:t>5.2利害关系授权代表处理。两家以上的供应商不得在同一合同项下的采购项目中，委托同一个自然人、同一家庭的人员、同一单位的人员作为其授权代表，否则，其响应文件作为无效处理。</w:t>
      </w:r>
    </w:p>
    <w:p>
      <w:pPr>
        <w:pStyle w:val="45"/>
        <w:spacing w:line="360" w:lineRule="auto"/>
        <w:ind w:left="1" w:firstLine="480" w:firstLineChars="200"/>
        <w:rPr>
          <w:rFonts w:ascii="仿宋" w:hAnsi="仿宋" w:eastAsia="仿宋"/>
          <w:color w:val="auto"/>
          <w:sz w:val="24"/>
        </w:rPr>
      </w:pPr>
      <w:r>
        <w:rPr>
          <w:rFonts w:hint="eastAsia" w:ascii="仿宋" w:hAnsi="仿宋" w:eastAsia="仿宋"/>
          <w:color w:val="auto"/>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45"/>
        <w:spacing w:line="360" w:lineRule="auto"/>
        <w:ind w:firstLine="420" w:firstLineChars="175"/>
        <w:rPr>
          <w:rFonts w:ascii="仿宋" w:hAnsi="仿宋" w:eastAsia="仿宋"/>
          <w:color w:val="auto"/>
          <w:sz w:val="24"/>
        </w:rPr>
      </w:pPr>
      <w:r>
        <w:rPr>
          <w:rFonts w:hint="eastAsia" w:ascii="仿宋" w:hAnsi="仿宋" w:eastAsia="仿宋"/>
          <w:color w:val="auto"/>
          <w:sz w:val="24"/>
        </w:rPr>
        <w:t>5.</w:t>
      </w:r>
      <w:r>
        <w:rPr>
          <w:rFonts w:ascii="仿宋" w:hAnsi="仿宋" w:eastAsia="仿宋"/>
          <w:color w:val="auto"/>
          <w:sz w:val="24"/>
        </w:rPr>
        <w:t>4</w:t>
      </w:r>
      <w:r>
        <w:rPr>
          <w:rFonts w:hint="eastAsia" w:ascii="仿宋" w:hAnsi="仿宋" w:eastAsia="仿宋"/>
          <w:color w:val="auto"/>
          <w:sz w:val="24"/>
        </w:rPr>
        <w:t>供应商实际控制人或者中高级管理人员，同时是采购代理机构工作人员，不得参与本项目采购活动。</w:t>
      </w:r>
    </w:p>
    <w:p>
      <w:pPr>
        <w:ind w:firstLine="420" w:firstLineChars="175"/>
        <w:rPr>
          <w:rFonts w:ascii="仿宋" w:hAnsi="仿宋"/>
          <w:color w:val="auto"/>
        </w:rPr>
      </w:pPr>
      <w:r>
        <w:rPr>
          <w:rFonts w:hint="eastAsia" w:ascii="仿宋" w:hAnsi="仿宋"/>
          <w:color w:val="auto"/>
        </w:rPr>
        <w:t>5.</w:t>
      </w:r>
      <w:r>
        <w:rPr>
          <w:rFonts w:ascii="仿宋" w:hAnsi="仿宋"/>
          <w:color w:val="auto"/>
        </w:rPr>
        <w:t>5</w:t>
      </w:r>
      <w:r>
        <w:rPr>
          <w:rFonts w:hint="eastAsia" w:ascii="仿宋" w:hAnsi="仿宋"/>
          <w:color w:val="auto"/>
        </w:rPr>
        <w:t>供应商与采购代理机构存在关联关系，或者是采购代理机构的母公司或子公司，不得参加本项目采购活动。</w:t>
      </w:r>
    </w:p>
    <w:p>
      <w:pPr>
        <w:pStyle w:val="45"/>
        <w:spacing w:line="360" w:lineRule="auto"/>
        <w:ind w:left="1" w:firstLine="480" w:firstLineChars="200"/>
        <w:rPr>
          <w:rFonts w:ascii="仿宋" w:hAnsi="仿宋" w:eastAsia="仿宋"/>
          <w:color w:val="auto"/>
          <w:sz w:val="24"/>
        </w:rPr>
      </w:pPr>
      <w:r>
        <w:rPr>
          <w:rFonts w:hint="eastAsia" w:ascii="仿宋" w:hAnsi="仿宋" w:eastAsia="仿宋"/>
          <w:color w:val="auto"/>
          <w:sz w:val="24"/>
        </w:rPr>
        <w:t>5.</w:t>
      </w:r>
      <w:r>
        <w:rPr>
          <w:rFonts w:ascii="仿宋" w:hAnsi="仿宋" w:eastAsia="仿宋"/>
          <w:color w:val="auto"/>
          <w:sz w:val="24"/>
        </w:rPr>
        <w:t>6</w:t>
      </w:r>
      <w:r>
        <w:rPr>
          <w:rFonts w:hint="eastAsia" w:ascii="仿宋" w:hAnsi="仿宋" w:eastAsia="仿宋"/>
          <w:color w:val="auto"/>
          <w:sz w:val="24"/>
        </w:rPr>
        <w:t>回避。采购活动中，采购人员及相关人员与供应商有下列利害关系之一的，应当回避：</w:t>
      </w:r>
    </w:p>
    <w:p>
      <w:pPr>
        <w:pStyle w:val="45"/>
        <w:spacing w:line="360" w:lineRule="auto"/>
        <w:ind w:left="1" w:firstLine="480" w:firstLineChars="200"/>
        <w:rPr>
          <w:rFonts w:ascii="仿宋" w:hAnsi="仿宋" w:eastAsia="仿宋"/>
          <w:color w:val="auto"/>
          <w:sz w:val="24"/>
        </w:rPr>
      </w:pPr>
      <w:r>
        <w:rPr>
          <w:rFonts w:hint="eastAsia" w:ascii="仿宋" w:hAnsi="仿宋" w:eastAsia="仿宋"/>
          <w:color w:val="auto"/>
          <w:sz w:val="24"/>
        </w:rPr>
        <w:t>（1）参加采购活动前3年内与供应商存在劳动关系；</w:t>
      </w:r>
    </w:p>
    <w:p>
      <w:pPr>
        <w:pStyle w:val="45"/>
        <w:spacing w:line="360" w:lineRule="auto"/>
        <w:ind w:left="1" w:firstLine="480" w:firstLineChars="200"/>
        <w:rPr>
          <w:rFonts w:ascii="仿宋" w:hAnsi="仿宋" w:eastAsia="仿宋"/>
          <w:color w:val="auto"/>
          <w:sz w:val="24"/>
        </w:rPr>
      </w:pPr>
      <w:r>
        <w:rPr>
          <w:rFonts w:hint="eastAsia" w:ascii="仿宋" w:hAnsi="仿宋" w:eastAsia="仿宋"/>
          <w:color w:val="auto"/>
          <w:sz w:val="24"/>
        </w:rPr>
        <w:t>（2）参加采购活动前3年内担任供应商的董事、监事；</w:t>
      </w:r>
    </w:p>
    <w:p>
      <w:pPr>
        <w:pStyle w:val="45"/>
        <w:spacing w:line="360" w:lineRule="auto"/>
        <w:ind w:left="1" w:firstLine="480" w:firstLineChars="200"/>
        <w:rPr>
          <w:rFonts w:ascii="仿宋" w:hAnsi="仿宋" w:eastAsia="仿宋"/>
          <w:color w:val="auto"/>
          <w:sz w:val="24"/>
        </w:rPr>
      </w:pPr>
      <w:r>
        <w:rPr>
          <w:rFonts w:hint="eastAsia" w:ascii="仿宋" w:hAnsi="仿宋" w:eastAsia="仿宋"/>
          <w:color w:val="auto"/>
          <w:sz w:val="24"/>
        </w:rPr>
        <w:t>（3）参加采购活动前3年内是供应商的控股股东或者实际控制人；</w:t>
      </w:r>
    </w:p>
    <w:p>
      <w:pPr>
        <w:pStyle w:val="45"/>
        <w:spacing w:line="360" w:lineRule="auto"/>
        <w:ind w:left="1" w:firstLine="480" w:firstLineChars="200"/>
        <w:rPr>
          <w:rFonts w:ascii="仿宋" w:hAnsi="仿宋" w:eastAsia="仿宋"/>
          <w:color w:val="auto"/>
          <w:sz w:val="24"/>
        </w:rPr>
      </w:pPr>
      <w:r>
        <w:rPr>
          <w:rFonts w:hint="eastAsia" w:ascii="仿宋" w:hAnsi="仿宋" w:eastAsia="仿宋"/>
          <w:color w:val="auto"/>
          <w:sz w:val="24"/>
        </w:rPr>
        <w:t>（4）与供应商的法定代表人或者负责人有夫妻、直系血亲、三代以内旁系血亲或者近姻亲关系；</w:t>
      </w:r>
    </w:p>
    <w:p>
      <w:pPr>
        <w:pStyle w:val="45"/>
        <w:spacing w:line="360" w:lineRule="auto"/>
        <w:ind w:left="1" w:firstLine="480" w:firstLineChars="200"/>
        <w:rPr>
          <w:rFonts w:ascii="仿宋" w:hAnsi="仿宋" w:eastAsia="仿宋"/>
          <w:color w:val="auto"/>
          <w:sz w:val="24"/>
        </w:rPr>
      </w:pPr>
      <w:r>
        <w:rPr>
          <w:rFonts w:hint="eastAsia" w:ascii="仿宋" w:hAnsi="仿宋" w:eastAsia="仿宋"/>
          <w:color w:val="auto"/>
          <w:sz w:val="24"/>
        </w:rPr>
        <w:t>（5）与供应商有其他可能影响采购活动公平、公正进行的关系。</w:t>
      </w:r>
    </w:p>
    <w:p>
      <w:pPr>
        <w:pStyle w:val="45"/>
        <w:spacing w:line="360" w:lineRule="auto"/>
        <w:ind w:left="1" w:firstLine="480" w:firstLineChars="200"/>
        <w:rPr>
          <w:rFonts w:ascii="仿宋" w:hAnsi="仿宋" w:eastAsia="仿宋"/>
          <w:color w:val="auto"/>
          <w:sz w:val="24"/>
        </w:rPr>
      </w:pPr>
      <w:r>
        <w:rPr>
          <w:rFonts w:hint="eastAsia" w:ascii="仿宋" w:hAnsi="仿宋" w:eastAsia="仿宋"/>
          <w:color w:val="auto"/>
          <w:sz w:val="24"/>
        </w:rPr>
        <w:t>本项目采购活动中需要依法回避的采购人员是指采购人内部负责采购项目的具体经办工作人员和直接分管采购项目的负责人，以及采购代理机构负责采购项目的具体经办工作人员和直接分管采购活动的负责人。本项目采购活动中需要依法回避的相关人员是指</w:t>
      </w:r>
      <w:r>
        <w:rPr>
          <w:rFonts w:hint="eastAsia" w:ascii="仿宋" w:hAnsi="仿宋" w:eastAsia="仿宋"/>
          <w:color w:val="auto"/>
          <w:sz w:val="24"/>
          <w:szCs w:val="18"/>
        </w:rPr>
        <w:t>评审小组</w:t>
      </w:r>
      <w:r>
        <w:rPr>
          <w:rFonts w:hint="eastAsia" w:ascii="仿宋" w:hAnsi="仿宋" w:eastAsia="仿宋"/>
          <w:color w:val="auto"/>
          <w:sz w:val="24"/>
        </w:rPr>
        <w:t>成员。</w:t>
      </w:r>
    </w:p>
    <w:p>
      <w:pPr>
        <w:pStyle w:val="45"/>
        <w:spacing w:line="360" w:lineRule="auto"/>
        <w:ind w:left="1" w:firstLine="480" w:firstLineChars="200"/>
        <w:rPr>
          <w:rFonts w:ascii="仿宋" w:hAnsi="仿宋" w:eastAsia="仿宋"/>
          <w:color w:val="auto"/>
          <w:sz w:val="24"/>
        </w:rPr>
      </w:pPr>
      <w:r>
        <w:rPr>
          <w:rFonts w:hint="eastAsia" w:ascii="仿宋" w:hAnsi="仿宋" w:eastAsia="仿宋"/>
          <w:color w:val="auto"/>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6.联合体（实质性要求）</w:t>
      </w:r>
    </w:p>
    <w:p>
      <w:pPr>
        <w:widowControl/>
        <w:ind w:firstLine="480" w:firstLineChars="200"/>
        <w:jc w:val="left"/>
        <w:rPr>
          <w:rFonts w:ascii="仿宋" w:hAnsi="仿宋"/>
          <w:bCs/>
          <w:color w:val="auto"/>
        </w:rPr>
      </w:pPr>
      <w:r>
        <w:rPr>
          <w:rFonts w:hint="eastAsia" w:ascii="仿宋" w:hAnsi="仿宋"/>
          <w:bCs/>
          <w:color w:val="auto"/>
        </w:rPr>
        <w:t>6.1 两个以上供应商可以组成一个联合体参加响应，以一个供应商的身份参加响应。以联合体形式参加询比响应的，联合体各方均应当符合第一章第六条第1项至第9项规定的条件，联合体各方中至少有一方符合第一章第六条第10项规定的特定条件。</w:t>
      </w:r>
    </w:p>
    <w:p>
      <w:pPr>
        <w:widowControl/>
        <w:ind w:firstLine="480" w:firstLineChars="200"/>
        <w:jc w:val="left"/>
        <w:rPr>
          <w:rFonts w:ascii="仿宋" w:hAnsi="仿宋"/>
          <w:bCs/>
          <w:color w:val="auto"/>
        </w:rPr>
      </w:pPr>
      <w:r>
        <w:rPr>
          <w:rFonts w:hint="eastAsia" w:ascii="仿宋" w:hAnsi="仿宋"/>
          <w:bCs/>
          <w:color w:val="auto"/>
        </w:rPr>
        <w:t>6.2 联合体各方之间应当签订联合体询比响应协议，明确约定联合体各方承担的工作和相应的责任。联合体参与询比响应的，应在响应文件提供联合体协议原件。</w:t>
      </w:r>
    </w:p>
    <w:p>
      <w:pPr>
        <w:widowControl/>
        <w:ind w:firstLine="480" w:firstLineChars="200"/>
        <w:jc w:val="left"/>
        <w:rPr>
          <w:rFonts w:ascii="仿宋" w:hAnsi="仿宋"/>
          <w:bCs/>
          <w:color w:val="auto"/>
        </w:rPr>
      </w:pPr>
      <w:r>
        <w:rPr>
          <w:rFonts w:hint="eastAsia" w:ascii="仿宋" w:hAnsi="仿宋"/>
          <w:bCs/>
          <w:color w:val="auto"/>
        </w:rPr>
        <w:t>6.3 联合体应当确定其中一个单位为询比响应的全权代表，负责参加询比采购活动的一切事务。</w:t>
      </w:r>
    </w:p>
    <w:p>
      <w:pPr>
        <w:widowControl/>
        <w:ind w:firstLine="480" w:firstLineChars="200"/>
        <w:jc w:val="left"/>
        <w:rPr>
          <w:rFonts w:ascii="仿宋" w:hAnsi="仿宋"/>
          <w:bCs/>
          <w:color w:val="auto"/>
        </w:rPr>
      </w:pPr>
      <w:r>
        <w:rPr>
          <w:rFonts w:hint="eastAsia" w:ascii="仿宋" w:hAnsi="仿宋"/>
          <w:bCs/>
          <w:color w:val="auto"/>
        </w:rPr>
        <w:t>6.4 联合体各方应当共同与采购人签订采购合同，就采购合同约定的事项对采购人承担连带责任。</w:t>
      </w:r>
    </w:p>
    <w:p>
      <w:pPr>
        <w:widowControl/>
        <w:ind w:firstLine="480" w:firstLineChars="200"/>
        <w:jc w:val="left"/>
        <w:rPr>
          <w:rFonts w:ascii="仿宋" w:hAnsi="仿宋"/>
          <w:bCs/>
          <w:color w:val="auto"/>
        </w:rPr>
      </w:pPr>
      <w:r>
        <w:rPr>
          <w:rFonts w:hint="eastAsia" w:ascii="仿宋" w:hAnsi="仿宋"/>
          <w:bCs/>
          <w:color w:val="auto"/>
        </w:rPr>
        <w:t>6.5联合体中有同类资质的供应商按照联合体分工承担相同工作的，将按照资质等级较低的供应商确定资质等级。</w:t>
      </w:r>
    </w:p>
    <w:p>
      <w:pPr>
        <w:widowControl/>
        <w:ind w:firstLine="480" w:firstLineChars="200"/>
        <w:jc w:val="left"/>
        <w:rPr>
          <w:rFonts w:ascii="仿宋" w:hAnsi="仿宋"/>
          <w:bCs/>
          <w:color w:val="auto"/>
        </w:rPr>
      </w:pPr>
      <w:r>
        <w:rPr>
          <w:rFonts w:hint="eastAsia" w:ascii="仿宋" w:hAnsi="仿宋"/>
          <w:bCs/>
          <w:color w:val="auto"/>
        </w:rPr>
        <w:t>6.6以联合体形式参加采购活动的，联合体各方不得再单独参加或者与其他供应商另外组成联合体参加同一合同项下的采购活动。</w:t>
      </w:r>
    </w:p>
    <w:p>
      <w:pPr>
        <w:widowControl/>
        <w:ind w:firstLine="480" w:firstLineChars="200"/>
        <w:jc w:val="left"/>
        <w:rPr>
          <w:rFonts w:ascii="仿宋" w:hAnsi="仿宋"/>
          <w:bCs/>
          <w:color w:val="auto"/>
        </w:rPr>
      </w:pPr>
      <w:r>
        <w:rPr>
          <w:rFonts w:hint="eastAsia" w:ascii="仿宋" w:hAnsi="仿宋"/>
          <w:bCs/>
          <w:color w:val="auto"/>
        </w:rPr>
        <w:t>6.7本项目是否接受联合体响应详见“询比邀请”。</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7.询比保证金（实质性要求）</w:t>
      </w:r>
    </w:p>
    <w:p>
      <w:pPr>
        <w:ind w:firstLine="470" w:firstLineChars="196"/>
        <w:rPr>
          <w:rFonts w:ascii="仿宋" w:hAnsi="仿宋"/>
          <w:color w:val="auto"/>
        </w:rPr>
      </w:pPr>
      <w:r>
        <w:rPr>
          <w:rFonts w:hint="eastAsia" w:ascii="仿宋" w:hAnsi="仿宋"/>
          <w:color w:val="auto"/>
        </w:rPr>
        <w:t>7.1 供应商必须以人民币按询比文件要求</w:t>
      </w:r>
      <w:r>
        <w:rPr>
          <w:rFonts w:ascii="仿宋" w:hAnsi="仿宋"/>
          <w:color w:val="auto"/>
        </w:rPr>
        <w:t>足额缴纳</w:t>
      </w:r>
      <w:r>
        <w:rPr>
          <w:rFonts w:hint="eastAsia" w:ascii="仿宋" w:hAnsi="仿宋"/>
          <w:color w:val="auto"/>
        </w:rPr>
        <w:t>询比保证金。联合体参与询比的，可以由联合体的一方或者共同提交询比保证金，以一方名义提交询比保证金的，对联合体各方均具有约束力。</w:t>
      </w:r>
    </w:p>
    <w:p>
      <w:pPr>
        <w:ind w:firstLine="470" w:firstLineChars="196"/>
        <w:rPr>
          <w:rFonts w:ascii="仿宋" w:hAnsi="仿宋"/>
          <w:color w:val="auto"/>
        </w:rPr>
      </w:pPr>
      <w:r>
        <w:rPr>
          <w:rFonts w:hint="eastAsia" w:ascii="仿宋" w:hAnsi="仿宋"/>
          <w:color w:val="auto"/>
        </w:rPr>
        <w:t>7.2 未按询比文件要求在规定时间前交纳规定数额询比保证金的响应文件无效。</w:t>
      </w:r>
    </w:p>
    <w:p>
      <w:pPr>
        <w:ind w:firstLine="470" w:firstLineChars="196"/>
        <w:rPr>
          <w:rFonts w:ascii="仿宋" w:hAnsi="仿宋"/>
          <w:color w:val="auto"/>
        </w:rPr>
      </w:pPr>
      <w:r>
        <w:rPr>
          <w:rFonts w:hint="eastAsia" w:ascii="仿宋" w:hAnsi="仿宋"/>
          <w:color w:val="auto"/>
        </w:rPr>
        <w:t>7.3未成交供应商的询比保证金，将在成交通知书发出后</w:t>
      </w:r>
      <w:r>
        <w:rPr>
          <w:rFonts w:ascii="仿宋" w:hAnsi="仿宋"/>
          <w:color w:val="auto"/>
        </w:rPr>
        <w:t>5</w:t>
      </w:r>
      <w:r>
        <w:rPr>
          <w:rFonts w:hint="eastAsia" w:ascii="仿宋" w:hAnsi="仿宋"/>
          <w:color w:val="auto"/>
        </w:rPr>
        <w:t>个工作日内退还。成交供应商的询比保证金，自采购合同签订之日起5个工作日内退还。（注：</w:t>
      </w:r>
      <w:r>
        <w:rPr>
          <w:rFonts w:hint="eastAsia" w:ascii="仿宋" w:hAnsi="仿宋"/>
          <w:color w:val="auto"/>
        </w:rPr>
        <w:fldChar w:fldCharType="begin"/>
      </w:r>
      <w:r>
        <w:rPr>
          <w:rFonts w:ascii="仿宋" w:hAnsi="仿宋"/>
          <w:color w:val="auto"/>
        </w:rPr>
        <w:instrText xml:space="preserve"> = 1 \* GB3 \* MERGEFORMAT </w:instrText>
      </w:r>
      <w:r>
        <w:rPr>
          <w:rFonts w:hint="eastAsia" w:ascii="仿宋" w:hAnsi="仿宋"/>
          <w:color w:val="auto"/>
        </w:rPr>
        <w:fldChar w:fldCharType="separate"/>
      </w:r>
      <w:r>
        <w:rPr>
          <w:rFonts w:hint="eastAsia" w:ascii="仿宋" w:hAnsi="仿宋"/>
          <w:color w:val="auto"/>
        </w:rPr>
        <w:t>①</w:t>
      </w:r>
      <w:r>
        <w:rPr>
          <w:rFonts w:hint="eastAsia" w:ascii="仿宋" w:hAnsi="仿宋"/>
          <w:color w:val="auto"/>
        </w:rPr>
        <w:fldChar w:fldCharType="end"/>
      </w:r>
      <w:r>
        <w:rPr>
          <w:rFonts w:hint="eastAsia" w:ascii="仿宋" w:hAnsi="仿宋"/>
          <w:color w:val="auto"/>
        </w:rPr>
        <w:t>因供应商自身原因造成的保证金延迟退还的，采购代理机构不承担相应责任；</w:t>
      </w:r>
      <w:r>
        <w:rPr>
          <w:rFonts w:hint="eastAsia" w:ascii="仿宋" w:hAnsi="仿宋"/>
          <w:color w:val="auto"/>
        </w:rPr>
        <w:fldChar w:fldCharType="begin"/>
      </w:r>
      <w:r>
        <w:rPr>
          <w:rFonts w:ascii="仿宋" w:hAnsi="仿宋"/>
          <w:color w:val="auto"/>
        </w:rPr>
        <w:instrText xml:space="preserve"> = 2 \* GB3 \* MERGEFORMAT </w:instrText>
      </w:r>
      <w:r>
        <w:rPr>
          <w:rFonts w:hint="eastAsia" w:ascii="仿宋" w:hAnsi="仿宋"/>
          <w:color w:val="auto"/>
        </w:rPr>
        <w:fldChar w:fldCharType="separate"/>
      </w:r>
      <w:r>
        <w:rPr>
          <w:rFonts w:hint="eastAsia" w:ascii="仿宋" w:hAnsi="仿宋"/>
          <w:color w:val="auto"/>
        </w:rPr>
        <w:t>②</w:t>
      </w:r>
      <w:r>
        <w:rPr>
          <w:rFonts w:hint="eastAsia" w:ascii="仿宋" w:hAnsi="仿宋"/>
          <w:color w:val="auto"/>
        </w:rPr>
        <w:fldChar w:fldCharType="end"/>
      </w:r>
      <w:r>
        <w:rPr>
          <w:rFonts w:hint="eastAsia" w:ascii="仿宋" w:hAnsi="仿宋"/>
          <w:color w:val="auto"/>
        </w:rPr>
        <w:t>供应商因涉嫌违法违规，按照规定应当不予退还保证金的，有关部门处理认定违法违规行为期间不计入退还保证金时限之内。）；</w:t>
      </w:r>
    </w:p>
    <w:p>
      <w:pPr>
        <w:ind w:firstLine="470" w:firstLineChars="196"/>
        <w:rPr>
          <w:rFonts w:ascii="仿宋" w:hAnsi="仿宋"/>
          <w:color w:val="auto"/>
        </w:rPr>
      </w:pPr>
      <w:r>
        <w:rPr>
          <w:rFonts w:hint="eastAsia" w:ascii="仿宋" w:hAnsi="仿宋"/>
          <w:color w:val="auto"/>
        </w:rPr>
        <w:t>7.4发生下列情形之一的，采购代理机构将不予退还询比保证金：</w:t>
      </w:r>
    </w:p>
    <w:p>
      <w:pPr>
        <w:ind w:firstLine="470" w:firstLineChars="196"/>
        <w:rPr>
          <w:rFonts w:ascii="仿宋" w:hAnsi="仿宋"/>
          <w:color w:val="auto"/>
        </w:rPr>
      </w:pPr>
      <w:r>
        <w:rPr>
          <w:rFonts w:hint="eastAsia" w:ascii="仿宋" w:hAnsi="仿宋"/>
          <w:color w:val="auto"/>
        </w:rPr>
        <w:t>（一）在询比文件规定的递交响应文件截止时间后撤销响应文件的；</w:t>
      </w:r>
    </w:p>
    <w:p>
      <w:pPr>
        <w:ind w:firstLine="470" w:firstLineChars="196"/>
        <w:rPr>
          <w:rFonts w:ascii="仿宋" w:hAnsi="仿宋"/>
          <w:color w:val="auto"/>
        </w:rPr>
      </w:pPr>
      <w:r>
        <w:rPr>
          <w:rFonts w:hint="eastAsia" w:ascii="仿宋" w:hAnsi="仿宋"/>
          <w:color w:val="auto"/>
        </w:rPr>
        <w:t>（二）在采购人确定成交供应商之前放弃成交候选资格的；</w:t>
      </w:r>
    </w:p>
    <w:p>
      <w:pPr>
        <w:ind w:firstLine="470" w:firstLineChars="196"/>
        <w:rPr>
          <w:rFonts w:ascii="仿宋" w:hAnsi="仿宋"/>
          <w:color w:val="auto"/>
        </w:rPr>
      </w:pPr>
      <w:r>
        <w:rPr>
          <w:rFonts w:hint="eastAsia" w:ascii="仿宋" w:hAnsi="仿宋"/>
          <w:color w:val="auto"/>
        </w:rPr>
        <w:t>（三）成交后放弃成交、不领取或者不接收成交通知书的；</w:t>
      </w:r>
    </w:p>
    <w:p>
      <w:pPr>
        <w:ind w:firstLine="470" w:firstLineChars="196"/>
        <w:rPr>
          <w:rFonts w:ascii="仿宋" w:hAnsi="仿宋"/>
          <w:color w:val="auto"/>
        </w:rPr>
      </w:pPr>
      <w:r>
        <w:rPr>
          <w:rFonts w:hint="eastAsia" w:ascii="仿宋" w:hAnsi="仿宋"/>
          <w:color w:val="auto"/>
        </w:rPr>
        <w:t>（四）由于成交供应商的原因未能按照询比文件的规定与采购人签订合同的；</w:t>
      </w:r>
    </w:p>
    <w:p>
      <w:pPr>
        <w:ind w:firstLine="470" w:firstLineChars="196"/>
        <w:rPr>
          <w:rFonts w:ascii="仿宋" w:hAnsi="仿宋"/>
          <w:color w:val="auto"/>
        </w:rPr>
      </w:pPr>
      <w:r>
        <w:rPr>
          <w:rFonts w:hint="eastAsia" w:ascii="仿宋" w:hAnsi="仿宋"/>
          <w:color w:val="auto"/>
        </w:rPr>
        <w:t>（五）由于成交供应商的原因未能按照询比文件的规定交纳履约保证金的。</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8.响应文件有效期（实质性要求）</w:t>
      </w:r>
    </w:p>
    <w:p>
      <w:pPr>
        <w:ind w:firstLine="470" w:firstLineChars="196"/>
        <w:rPr>
          <w:rFonts w:ascii="仿宋" w:hAnsi="仿宋"/>
          <w:color w:val="auto"/>
        </w:rPr>
      </w:pPr>
      <w:r>
        <w:rPr>
          <w:rFonts w:hint="eastAsia" w:ascii="仿宋" w:hAnsi="仿宋"/>
          <w:color w:val="auto"/>
        </w:rPr>
        <w:t>本项目响应文件有效期为递交询比响应文件截止之日起</w:t>
      </w:r>
      <w:r>
        <w:rPr>
          <w:rFonts w:ascii="仿宋" w:hAnsi="仿宋"/>
          <w:color w:val="auto"/>
        </w:rPr>
        <w:t>90</w:t>
      </w:r>
      <w:r>
        <w:rPr>
          <w:rFonts w:hint="eastAsia" w:ascii="仿宋" w:hAnsi="仿宋"/>
          <w:color w:val="auto"/>
        </w:rPr>
        <w:t>天。供应商响应文件中必须载明响应文件有效期，响应文件中载明的响应文件有效期可以长于询比文件规定的期限，但不得短于询比文件规定的期限。否则，其响应文件将作无效响应处理。</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9.知识产权（实质性要求）</w:t>
      </w:r>
    </w:p>
    <w:p>
      <w:pPr>
        <w:pStyle w:val="11"/>
        <w:ind w:firstLine="480" w:firstLineChars="200"/>
        <w:rPr>
          <w:rFonts w:ascii="仿宋" w:hAnsi="仿宋"/>
          <w:color w:val="auto"/>
          <w:sz w:val="24"/>
          <w:szCs w:val="24"/>
        </w:rPr>
      </w:pPr>
      <w:r>
        <w:rPr>
          <w:rFonts w:hint="eastAsia" w:ascii="仿宋" w:hAnsi="仿宋"/>
          <w:color w:val="auto"/>
          <w:sz w:val="24"/>
          <w:szCs w:val="24"/>
        </w:rPr>
        <w:t>9</w:t>
      </w:r>
      <w:r>
        <w:rPr>
          <w:rFonts w:ascii="仿宋" w:hAnsi="仿宋"/>
          <w:color w:val="auto"/>
          <w:sz w:val="24"/>
          <w:szCs w:val="24"/>
        </w:rPr>
        <w:t>.1</w:t>
      </w:r>
      <w:r>
        <w:rPr>
          <w:rFonts w:hint="eastAsia" w:ascii="仿宋" w:hAnsi="仿宋"/>
          <w:color w:val="auto"/>
          <w:sz w:val="24"/>
        </w:rPr>
        <w:t>供应商</w:t>
      </w:r>
      <w:r>
        <w:rPr>
          <w:rFonts w:hint="eastAsia" w:ascii="仿宋" w:hAnsi="仿宋"/>
          <w:color w:val="auto"/>
          <w:sz w:val="24"/>
          <w:szCs w:val="24"/>
        </w:rPr>
        <w:t>应保证在本项目中使用的任何产品和服务（包括部分使用），不会产生因第三方提出侵犯其专利权、商标权或其它知识产权而引起的法律和经济纠纷，如因侵犯专利权、商标权或其它知识产权而引起法律和经济纠纷，由</w:t>
      </w:r>
      <w:r>
        <w:rPr>
          <w:rFonts w:hint="eastAsia" w:ascii="仿宋" w:hAnsi="仿宋"/>
          <w:color w:val="auto"/>
          <w:sz w:val="24"/>
        </w:rPr>
        <w:t>供应商</w:t>
      </w:r>
      <w:r>
        <w:rPr>
          <w:rFonts w:hint="eastAsia" w:ascii="仿宋" w:hAnsi="仿宋"/>
          <w:color w:val="auto"/>
          <w:sz w:val="24"/>
          <w:szCs w:val="24"/>
        </w:rPr>
        <w:t>承担所有相关责任。</w:t>
      </w:r>
    </w:p>
    <w:p>
      <w:pPr>
        <w:pStyle w:val="11"/>
        <w:ind w:firstLine="480" w:firstLineChars="200"/>
        <w:rPr>
          <w:rFonts w:ascii="仿宋" w:hAnsi="仿宋"/>
          <w:color w:val="auto"/>
          <w:sz w:val="24"/>
          <w:szCs w:val="24"/>
        </w:rPr>
      </w:pPr>
      <w:r>
        <w:rPr>
          <w:rFonts w:hint="eastAsia" w:ascii="仿宋" w:hAnsi="仿宋"/>
          <w:color w:val="auto"/>
          <w:sz w:val="24"/>
          <w:szCs w:val="24"/>
        </w:rPr>
        <w:t>9</w:t>
      </w:r>
      <w:r>
        <w:rPr>
          <w:rFonts w:ascii="仿宋" w:hAnsi="仿宋"/>
          <w:color w:val="auto"/>
          <w:sz w:val="24"/>
          <w:szCs w:val="24"/>
        </w:rPr>
        <w:t>.2</w:t>
      </w:r>
      <w:r>
        <w:rPr>
          <w:rFonts w:hint="eastAsia" w:ascii="仿宋" w:hAnsi="仿宋"/>
          <w:color w:val="auto"/>
          <w:sz w:val="24"/>
          <w:szCs w:val="24"/>
        </w:rPr>
        <w:t xml:space="preserve"> 除询比文件另有规定外，采购人享有本项目实施过程中产生的知识成果及知识产权。</w:t>
      </w:r>
    </w:p>
    <w:p>
      <w:pPr>
        <w:ind w:firstLine="480" w:firstLineChars="200"/>
        <w:rPr>
          <w:rFonts w:ascii="仿宋" w:hAnsi="仿宋"/>
          <w:color w:val="auto"/>
        </w:rPr>
      </w:pPr>
      <w:r>
        <w:rPr>
          <w:rFonts w:hint="eastAsia" w:ascii="仿宋" w:hAnsi="仿宋"/>
          <w:color w:val="auto"/>
        </w:rPr>
        <w:t>9</w:t>
      </w:r>
      <w:r>
        <w:rPr>
          <w:rFonts w:ascii="仿宋" w:hAnsi="仿宋"/>
          <w:color w:val="auto"/>
        </w:rPr>
        <w:t>.3</w:t>
      </w:r>
      <w:r>
        <w:rPr>
          <w:rFonts w:hint="eastAsia" w:ascii="仿宋" w:hAnsi="仿宋"/>
          <w:color w:val="auto"/>
        </w:rPr>
        <w:t xml:space="preserve"> 供应商如欲在项目实施过程中采用自有知识成果，使用该知识成果后，供应商需提供开发接口和开发手册等技术文档，并承诺提供无限期技术支持，采购人享有永久使用权（含采购人委托第三方在该项目后续开发的使用权）。</w:t>
      </w:r>
    </w:p>
    <w:p>
      <w:pPr>
        <w:ind w:firstLine="460" w:firstLineChars="192"/>
        <w:rPr>
          <w:rFonts w:ascii="仿宋" w:hAnsi="仿宋"/>
          <w:color w:val="auto"/>
        </w:rPr>
      </w:pPr>
      <w:r>
        <w:rPr>
          <w:rFonts w:hint="eastAsia" w:ascii="仿宋" w:hAnsi="仿宋"/>
          <w:color w:val="auto"/>
        </w:rPr>
        <w:t>9</w:t>
      </w:r>
      <w:r>
        <w:rPr>
          <w:rFonts w:ascii="仿宋" w:hAnsi="仿宋"/>
          <w:color w:val="auto"/>
        </w:rPr>
        <w:t>.4</w:t>
      </w:r>
      <w:r>
        <w:rPr>
          <w:rFonts w:hint="eastAsia" w:ascii="仿宋" w:hAnsi="仿宋"/>
          <w:color w:val="auto"/>
        </w:rPr>
        <w:t xml:space="preserve"> 如采用不归供应商所有的知识产权，则在报价中必须包括合法获取该知识产权的相关费用。 </w:t>
      </w:r>
      <w:bookmarkStart w:id="34" w:name="_Toc183582209"/>
      <w:bookmarkStart w:id="35" w:name="_Toc183682346"/>
      <w:bookmarkStart w:id="36" w:name="_Toc77400779"/>
      <w:bookmarkStart w:id="37" w:name="_Toc89075875"/>
      <w:bookmarkStart w:id="38" w:name="_Toc217446038"/>
    </w:p>
    <w:p>
      <w:pPr>
        <w:pStyle w:val="3"/>
        <w:keepNext w:val="0"/>
        <w:keepLines w:val="0"/>
        <w:spacing w:before="0" w:after="0" w:line="360" w:lineRule="auto"/>
        <w:jc w:val="center"/>
        <w:rPr>
          <w:rFonts w:ascii="仿宋" w:hAnsi="仿宋" w:eastAsia="仿宋"/>
          <w:bCs w:val="0"/>
          <w:color w:val="auto"/>
        </w:rPr>
      </w:pPr>
      <w:r>
        <w:rPr>
          <w:rFonts w:hint="eastAsia" w:ascii="仿宋" w:hAnsi="仿宋" w:eastAsia="仿宋"/>
          <w:bCs w:val="0"/>
          <w:color w:val="auto"/>
        </w:rPr>
        <w:t>三、询比文件</w:t>
      </w:r>
      <w:bookmarkEnd w:id="34"/>
      <w:bookmarkEnd w:id="35"/>
      <w:bookmarkEnd w:id="36"/>
      <w:bookmarkEnd w:id="37"/>
      <w:bookmarkEnd w:id="38"/>
    </w:p>
    <w:p>
      <w:pPr>
        <w:pStyle w:val="4"/>
        <w:keepNext w:val="0"/>
        <w:keepLines w:val="0"/>
        <w:spacing w:before="0" w:after="0" w:line="360" w:lineRule="auto"/>
        <w:ind w:firstLine="482" w:firstLineChars="200"/>
        <w:rPr>
          <w:rFonts w:ascii="仿宋" w:hAnsi="仿宋"/>
          <w:color w:val="auto"/>
          <w:sz w:val="24"/>
        </w:rPr>
      </w:pPr>
      <w:bookmarkStart w:id="39" w:name="_Toc217446039"/>
      <w:bookmarkStart w:id="40" w:name="_Toc183582210"/>
      <w:bookmarkStart w:id="41" w:name="_Toc183682347"/>
      <w:r>
        <w:rPr>
          <w:rFonts w:hint="eastAsia" w:ascii="仿宋" w:hAnsi="仿宋"/>
          <w:color w:val="auto"/>
          <w:sz w:val="24"/>
        </w:rPr>
        <w:t>10．询比文件的构成</w:t>
      </w:r>
      <w:bookmarkEnd w:id="39"/>
      <w:bookmarkEnd w:id="40"/>
      <w:bookmarkEnd w:id="41"/>
      <w:r>
        <w:rPr>
          <w:rFonts w:hint="eastAsia" w:ascii="仿宋" w:hAnsi="仿宋"/>
          <w:color w:val="auto"/>
          <w:sz w:val="24"/>
        </w:rPr>
        <w:t>（实质性要求）</w:t>
      </w:r>
    </w:p>
    <w:p>
      <w:pPr>
        <w:tabs>
          <w:tab w:val="left" w:pos="720"/>
        </w:tabs>
        <w:ind w:firstLine="480" w:firstLineChars="200"/>
        <w:rPr>
          <w:rFonts w:ascii="仿宋" w:hAnsi="仿宋"/>
          <w:color w:val="auto"/>
        </w:rPr>
      </w:pPr>
      <w:r>
        <w:rPr>
          <w:rFonts w:hint="eastAsia" w:ascii="仿宋" w:hAnsi="仿宋"/>
          <w:color w:val="auto"/>
        </w:rPr>
        <w:t>10</w:t>
      </w:r>
      <w:r>
        <w:rPr>
          <w:rFonts w:ascii="仿宋" w:hAnsi="仿宋"/>
          <w:b/>
          <w:bCs/>
          <w:color w:val="auto"/>
        </w:rPr>
        <w:t>.</w:t>
      </w:r>
      <w:r>
        <w:rPr>
          <w:rFonts w:hint="eastAsia" w:ascii="仿宋" w:hAnsi="仿宋"/>
          <w:color w:val="auto"/>
        </w:rPr>
        <w:t>1 询比文件是供应商准备响应文件和参加询比的依据，同时也是评审的重要依据。询比文件用以阐明询比项目所需的资质、技术、服务及报价等要求、有关规定和注意事项以及合同主要条款等。</w:t>
      </w:r>
    </w:p>
    <w:p>
      <w:pPr>
        <w:tabs>
          <w:tab w:val="left" w:pos="7665"/>
        </w:tabs>
        <w:ind w:firstLine="480" w:firstLineChars="200"/>
        <w:rPr>
          <w:rFonts w:ascii="仿宋" w:hAnsi="仿宋"/>
          <w:color w:val="auto"/>
        </w:rPr>
      </w:pPr>
      <w:r>
        <w:rPr>
          <w:rFonts w:hint="eastAsia" w:ascii="仿宋" w:hAnsi="仿宋"/>
          <w:color w:val="auto"/>
        </w:rPr>
        <w:t>10</w:t>
      </w:r>
      <w:r>
        <w:rPr>
          <w:rFonts w:hint="eastAsia" w:ascii="仿宋" w:hAnsi="仿宋"/>
          <w:b/>
          <w:bCs/>
          <w:color w:val="auto"/>
        </w:rPr>
        <w:t>.</w:t>
      </w:r>
      <w:r>
        <w:rPr>
          <w:rFonts w:hint="eastAsia" w:ascii="仿宋" w:hAnsi="仿宋"/>
          <w:color w:val="auto"/>
        </w:rPr>
        <w:t>2 供应商应认真阅读和充分理解询比文件中所有的事项、格式条款和规范要求。供应商应详细阅读询比文件的全部内容，按照询比文件的要求提供响应文件，并保证所提供的全部资料的真实性和有效性，一经发现有虚假行为的，将取消其参加询比或成交资格，并承担相应的法律责任。</w:t>
      </w:r>
      <w:bookmarkStart w:id="42" w:name="_Toc183582211"/>
      <w:bookmarkStart w:id="43" w:name="_Toc183682348"/>
      <w:bookmarkStart w:id="44" w:name="_Toc217446040"/>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11. 询比文件的澄清</w:t>
      </w:r>
      <w:bookmarkEnd w:id="42"/>
      <w:bookmarkEnd w:id="43"/>
      <w:r>
        <w:rPr>
          <w:rFonts w:hint="eastAsia" w:ascii="仿宋" w:hAnsi="仿宋"/>
          <w:color w:val="auto"/>
          <w:sz w:val="24"/>
        </w:rPr>
        <w:t>和修改</w:t>
      </w:r>
      <w:bookmarkEnd w:id="44"/>
    </w:p>
    <w:p>
      <w:pPr>
        <w:tabs>
          <w:tab w:val="left" w:pos="720"/>
        </w:tabs>
        <w:ind w:firstLine="480" w:firstLineChars="200"/>
        <w:rPr>
          <w:rFonts w:ascii="仿宋" w:hAnsi="仿宋"/>
          <w:color w:val="auto"/>
        </w:rPr>
      </w:pPr>
      <w:r>
        <w:rPr>
          <w:rFonts w:hint="eastAsia" w:ascii="仿宋" w:hAnsi="仿宋"/>
          <w:color w:val="auto"/>
        </w:rPr>
        <w:t>11.1 在递交响应文件截止时间前，采购人、采购代理机构可以对询比文件进行澄清或者修改。</w:t>
      </w:r>
    </w:p>
    <w:p>
      <w:pPr>
        <w:tabs>
          <w:tab w:val="left" w:pos="720"/>
        </w:tabs>
        <w:ind w:firstLine="480" w:firstLineChars="200"/>
        <w:rPr>
          <w:rFonts w:ascii="仿宋" w:hAnsi="仿宋"/>
          <w:color w:val="auto"/>
        </w:rPr>
      </w:pPr>
      <w:r>
        <w:rPr>
          <w:rFonts w:hint="eastAsia" w:ascii="仿宋" w:hAnsi="仿宋"/>
          <w:color w:val="auto"/>
        </w:rPr>
        <w:t>11.2采购代理机构对已发出的询比文件进行澄清或者修改，采用公告邀请方式的采购项目，应当在</w:t>
      </w:r>
      <w:r>
        <w:rPr>
          <w:rFonts w:hint="eastAsia" w:ascii="仿宋" w:hAnsi="仿宋"/>
          <w:bCs/>
          <w:color w:val="auto"/>
        </w:rPr>
        <w:t>中国工程物理研究院招投标信息网上</w:t>
      </w:r>
      <w:r>
        <w:rPr>
          <w:rFonts w:hint="eastAsia"/>
          <w:bCs/>
          <w:color w:val="auto"/>
        </w:rPr>
        <w:t>发布更正公告</w:t>
      </w:r>
      <w:r>
        <w:rPr>
          <w:rFonts w:hint="eastAsia" w:ascii="仿宋" w:hAnsi="仿宋"/>
          <w:color w:val="auto"/>
        </w:rPr>
        <w:t>，并将澄清或者修改的内容以书面形式通知所有已获取询比文件的供应商；采用直接邀请方式的采购项目，应当</w:t>
      </w:r>
      <w:r>
        <w:rPr>
          <w:rFonts w:hint="eastAsia" w:ascii="仿宋" w:hAnsi="仿宋"/>
          <w:bCs/>
          <w:color w:val="auto"/>
        </w:rPr>
        <w:t>以书面</w:t>
      </w:r>
      <w:r>
        <w:rPr>
          <w:rFonts w:hint="eastAsia" w:ascii="仿宋" w:hAnsi="仿宋"/>
          <w:color w:val="auto"/>
        </w:rPr>
        <w:t>形式，将澄清或者修改的内容通知所有获取了询比文件的供应商。该澄清或者修改的内容为询比文件的组成部分，澄清或者修改的内容可能影响响应文件编制的，采购人或者采购代理机构发布公告或书面通知供应商的时间，应当在</w:t>
      </w:r>
      <w:r>
        <w:rPr>
          <w:rFonts w:hint="eastAsia" w:ascii="仿宋" w:hAnsi="仿宋" w:cs="宋体"/>
          <w:color w:val="auto"/>
        </w:rPr>
        <w:t>提交</w:t>
      </w:r>
      <w:r>
        <w:rPr>
          <w:rFonts w:hint="eastAsia" w:ascii="仿宋" w:hAnsi="仿宋"/>
          <w:color w:val="auto"/>
        </w:rPr>
        <w:t>响应文件截止之日起3个工作日前；不足上述时间的，应当顺延递交响应文件的截止时间。</w:t>
      </w:r>
    </w:p>
    <w:p>
      <w:pPr>
        <w:tabs>
          <w:tab w:val="left" w:pos="7665"/>
        </w:tabs>
        <w:ind w:firstLine="480" w:firstLineChars="200"/>
        <w:rPr>
          <w:rFonts w:ascii="仿宋" w:hAnsi="仿宋"/>
          <w:color w:val="auto"/>
        </w:rPr>
      </w:pPr>
      <w:r>
        <w:rPr>
          <w:rFonts w:hint="eastAsia" w:ascii="仿宋" w:hAnsi="仿宋"/>
          <w:color w:val="auto"/>
        </w:rPr>
        <w:t>11.3</w:t>
      </w:r>
      <w:r>
        <w:rPr>
          <w:rFonts w:hint="eastAsia"/>
          <w:color w:val="auto"/>
        </w:rPr>
        <w:t>澄清或者修改内容通过供应商领取询比文件时备注</w:t>
      </w:r>
      <w:r>
        <w:rPr>
          <w:rFonts w:hint="eastAsia" w:ascii="仿宋" w:hAnsi="仿宋"/>
          <w:color w:val="auto"/>
        </w:rPr>
        <w:t>的电子邮箱发送至所有领取询比文件的供应商，供应商在收到相应</w:t>
      </w:r>
      <w:r>
        <w:rPr>
          <w:rFonts w:hint="eastAsia"/>
          <w:color w:val="auto"/>
        </w:rPr>
        <w:t>澄清或者修改内容的通知</w:t>
      </w:r>
      <w:r>
        <w:rPr>
          <w:rFonts w:hint="eastAsia" w:ascii="仿宋" w:hAnsi="仿宋"/>
          <w:color w:val="auto"/>
        </w:rPr>
        <w:t>后，以书面形式给予确认。如供应商未给予书面回复，则视为收到并认可该</w:t>
      </w:r>
      <w:r>
        <w:rPr>
          <w:rFonts w:hint="eastAsia"/>
          <w:color w:val="auto"/>
        </w:rPr>
        <w:t>澄清或者修改的内容</w:t>
      </w:r>
      <w:r>
        <w:rPr>
          <w:rFonts w:hint="eastAsia" w:ascii="仿宋" w:hAnsi="仿宋"/>
          <w:color w:val="auto"/>
        </w:rPr>
        <w:t>。由于未及时关注</w:t>
      </w:r>
      <w:r>
        <w:rPr>
          <w:rFonts w:hint="eastAsia"/>
          <w:color w:val="auto"/>
        </w:rPr>
        <w:t>澄清或者修改内容</w:t>
      </w:r>
      <w:r>
        <w:rPr>
          <w:rFonts w:hint="eastAsia" w:ascii="仿宋" w:hAnsi="仿宋"/>
          <w:color w:val="auto"/>
        </w:rPr>
        <w:t>的信息造成的后果，其责任由供应商自行负责。</w:t>
      </w:r>
    </w:p>
    <w:p>
      <w:pPr>
        <w:tabs>
          <w:tab w:val="left" w:pos="720"/>
        </w:tabs>
        <w:ind w:firstLine="480" w:firstLineChars="200"/>
        <w:rPr>
          <w:rFonts w:ascii="仿宋" w:hAnsi="仿宋"/>
          <w:color w:val="auto"/>
        </w:rPr>
      </w:pPr>
      <w:r>
        <w:rPr>
          <w:rFonts w:hint="eastAsia" w:ascii="仿宋" w:hAnsi="仿宋"/>
          <w:color w:val="auto"/>
        </w:rPr>
        <w:t>11.4供应商认为需要对询比文件进行澄清或者修改的，可以以书面形式向采购人或采购代理机构提出申请，由采购人或采购代理机构决定是否采纳供应商的申请事项。</w:t>
      </w:r>
    </w:p>
    <w:p>
      <w:pPr>
        <w:pStyle w:val="4"/>
        <w:keepNext w:val="0"/>
        <w:keepLines w:val="0"/>
        <w:spacing w:before="0" w:after="0" w:line="360" w:lineRule="auto"/>
        <w:ind w:firstLine="482" w:firstLineChars="200"/>
        <w:rPr>
          <w:rFonts w:ascii="仿宋" w:hAnsi="仿宋"/>
          <w:color w:val="auto"/>
          <w:sz w:val="24"/>
        </w:rPr>
      </w:pPr>
      <w:bookmarkStart w:id="45" w:name="_Toc208848971"/>
      <w:bookmarkStart w:id="46" w:name="_Toc217446041"/>
      <w:r>
        <w:rPr>
          <w:rFonts w:hint="eastAsia" w:ascii="仿宋" w:hAnsi="仿宋"/>
          <w:color w:val="auto"/>
          <w:sz w:val="24"/>
        </w:rPr>
        <w:t>12. 答疑会和现场考察</w:t>
      </w:r>
      <w:bookmarkEnd w:id="45"/>
      <w:bookmarkEnd w:id="46"/>
    </w:p>
    <w:p>
      <w:pPr>
        <w:ind w:firstLine="480" w:firstLineChars="200"/>
        <w:rPr>
          <w:rFonts w:ascii="仿宋" w:hAnsi="仿宋"/>
          <w:color w:val="auto"/>
        </w:rPr>
      </w:pPr>
      <w:r>
        <w:rPr>
          <w:rFonts w:hint="eastAsia" w:ascii="仿宋" w:hAnsi="仿宋"/>
          <w:color w:val="auto"/>
        </w:rPr>
        <w:t>12.1 根据采购项目和具体情况，采购人、采购代理机构认为有必要，可以在询比文件提供期限截止后响应文件提交截止前，组织已获取询比文件的潜在供应商现场考察或者召开答疑会。</w:t>
      </w:r>
    </w:p>
    <w:p>
      <w:pPr>
        <w:ind w:firstLine="480" w:firstLineChars="200"/>
        <w:rPr>
          <w:rFonts w:ascii="仿宋" w:hAnsi="仿宋"/>
          <w:color w:val="auto"/>
        </w:rPr>
      </w:pPr>
      <w:r>
        <w:rPr>
          <w:rFonts w:hint="eastAsia" w:ascii="仿宋" w:hAnsi="仿宋"/>
          <w:color w:val="auto"/>
        </w:rPr>
        <w:t>12.2采购人、采购代理机构组织现场考察或者召开答疑会的，将以书面形式通知所有获取询比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ind w:firstLine="420" w:firstLineChars="175"/>
        <w:rPr>
          <w:rFonts w:ascii="仿宋" w:hAnsi="仿宋"/>
          <w:color w:val="auto"/>
        </w:rPr>
      </w:pPr>
      <w:r>
        <w:rPr>
          <w:rFonts w:hint="eastAsia" w:ascii="仿宋" w:hAnsi="仿宋"/>
          <w:color w:val="auto"/>
        </w:rPr>
        <w:t>12</w:t>
      </w:r>
      <w:r>
        <w:rPr>
          <w:rFonts w:ascii="仿宋" w:hAnsi="仿宋"/>
          <w:color w:val="auto"/>
        </w:rPr>
        <w:t>.</w:t>
      </w:r>
      <w:r>
        <w:rPr>
          <w:rFonts w:hint="eastAsia" w:ascii="仿宋" w:hAnsi="仿宋"/>
          <w:color w:val="auto"/>
        </w:rPr>
        <w:t>3供应商考察现场或者参加答疑会所发生的一切费用由供应商自己承担。</w:t>
      </w:r>
      <w:bookmarkStart w:id="47" w:name="_Toc183682351"/>
      <w:bookmarkStart w:id="48" w:name="_Toc217446042"/>
      <w:bookmarkStart w:id="49" w:name="_Toc183582214"/>
      <w:bookmarkStart w:id="50" w:name="_Toc77400780"/>
      <w:bookmarkStart w:id="51" w:name="_Toc89075876"/>
    </w:p>
    <w:p>
      <w:pPr>
        <w:pStyle w:val="3"/>
        <w:keepNext w:val="0"/>
        <w:keepLines w:val="0"/>
        <w:spacing w:before="0" w:after="0" w:line="360" w:lineRule="auto"/>
        <w:jc w:val="center"/>
        <w:rPr>
          <w:rFonts w:ascii="仿宋" w:hAnsi="仿宋" w:eastAsia="仿宋"/>
          <w:bCs w:val="0"/>
          <w:color w:val="auto"/>
        </w:rPr>
      </w:pPr>
      <w:r>
        <w:rPr>
          <w:rFonts w:hint="eastAsia" w:ascii="仿宋" w:hAnsi="仿宋" w:eastAsia="仿宋"/>
          <w:bCs w:val="0"/>
          <w:color w:val="auto"/>
        </w:rPr>
        <w:t>四、响应文件</w:t>
      </w:r>
      <w:bookmarkEnd w:id="47"/>
      <w:bookmarkEnd w:id="48"/>
      <w:bookmarkEnd w:id="49"/>
      <w:bookmarkEnd w:id="50"/>
      <w:bookmarkEnd w:id="51"/>
      <w:bookmarkStart w:id="52" w:name="_Toc183582215"/>
      <w:bookmarkStart w:id="53" w:name="_Toc183682352"/>
      <w:bookmarkStart w:id="54" w:name="_Toc217446043"/>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13.响应文件的组成（实质性要求）</w:t>
      </w:r>
    </w:p>
    <w:p>
      <w:pPr>
        <w:pStyle w:val="4"/>
        <w:keepNext w:val="0"/>
        <w:keepLines w:val="0"/>
        <w:spacing w:before="0" w:after="0" w:line="360" w:lineRule="auto"/>
        <w:ind w:firstLine="480" w:firstLineChars="200"/>
        <w:rPr>
          <w:rFonts w:ascii="仿宋" w:hAnsi="仿宋"/>
          <w:b w:val="0"/>
          <w:color w:val="auto"/>
          <w:sz w:val="24"/>
        </w:rPr>
      </w:pPr>
      <w:r>
        <w:rPr>
          <w:rFonts w:hint="eastAsia" w:ascii="仿宋" w:hAnsi="仿宋"/>
          <w:b w:val="0"/>
          <w:color w:val="auto"/>
          <w:sz w:val="24"/>
        </w:rPr>
        <w:t>供应商应按照</w:t>
      </w:r>
      <w:r>
        <w:rPr>
          <w:rFonts w:hint="eastAsia" w:ascii="仿宋" w:hAnsi="仿宋"/>
          <w:b w:val="0"/>
          <w:color w:val="auto"/>
          <w:sz w:val="24"/>
          <w:szCs w:val="18"/>
        </w:rPr>
        <w:t>询比文件</w:t>
      </w:r>
      <w:r>
        <w:rPr>
          <w:rFonts w:hint="eastAsia" w:ascii="仿宋" w:hAnsi="仿宋"/>
          <w:b w:val="0"/>
          <w:color w:val="auto"/>
          <w:sz w:val="24"/>
        </w:rPr>
        <w:t>的规定和要求编制响应文件。供应商在成交后将成交项目的非主体、非关键性工作分包他人完成的，应当在响应文件中载明。</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14.响应文件的语言</w:t>
      </w:r>
      <w:bookmarkEnd w:id="52"/>
      <w:bookmarkEnd w:id="53"/>
      <w:bookmarkEnd w:id="54"/>
      <w:r>
        <w:rPr>
          <w:rFonts w:hint="eastAsia" w:ascii="仿宋" w:hAnsi="仿宋"/>
          <w:color w:val="auto"/>
          <w:sz w:val="24"/>
        </w:rPr>
        <w:t>（实质性要求）</w:t>
      </w:r>
    </w:p>
    <w:p>
      <w:pPr>
        <w:tabs>
          <w:tab w:val="left" w:pos="7665"/>
        </w:tabs>
        <w:overflowPunct w:val="0"/>
        <w:autoSpaceDE w:val="0"/>
        <w:autoSpaceDN w:val="0"/>
        <w:ind w:firstLine="480" w:firstLineChars="200"/>
        <w:rPr>
          <w:rFonts w:ascii="仿宋" w:hAnsi="仿宋"/>
          <w:color w:val="auto"/>
        </w:rPr>
      </w:pPr>
      <w:r>
        <w:rPr>
          <w:rFonts w:hint="eastAsia" w:ascii="仿宋" w:hAnsi="仿宋"/>
          <w:color w:val="auto"/>
        </w:rPr>
        <w:t>14.1供应商提交的响应文件以及供应商与采购组织单位就有关询比采购的所有来往书面文件均须使用中文。响应文件中如附有外文资料，必须逐一对应翻译成中文并加盖响应人公章后附在相关外文资料后面，否则，所提供的外文资料将可能被视为无效材料。（说明：供应商的法定代表人为外籍人士的，法定代表人的签字和护照除外。不适宜以中文表述或者已经形成国际惯例的标准、符号、范本、证书证件除外）。</w:t>
      </w:r>
    </w:p>
    <w:p>
      <w:pPr>
        <w:tabs>
          <w:tab w:val="left" w:pos="1134"/>
        </w:tabs>
        <w:ind w:firstLine="480" w:firstLineChars="200"/>
        <w:jc w:val="left"/>
        <w:rPr>
          <w:rFonts w:ascii="仿宋" w:hAnsi="仿宋"/>
          <w:color w:val="auto"/>
        </w:rPr>
      </w:pPr>
      <w:r>
        <w:rPr>
          <w:rFonts w:hint="eastAsia" w:ascii="仿宋" w:hAnsi="仿宋"/>
          <w:color w:val="auto"/>
        </w:rPr>
        <w:t>14.2 翻译的中文资料与外文资料如果出现差异和矛盾时，以中文为准。涉嫌虚假响应的按照相关法律法规处理。</w:t>
      </w:r>
    </w:p>
    <w:p>
      <w:pPr>
        <w:ind w:firstLine="480" w:firstLineChars="200"/>
        <w:rPr>
          <w:rFonts w:ascii="仿宋" w:hAnsi="仿宋" w:cs="宋体"/>
          <w:color w:val="auto"/>
        </w:rPr>
      </w:pPr>
      <w:r>
        <w:rPr>
          <w:rFonts w:hint="eastAsia" w:ascii="仿宋" w:hAnsi="仿宋" w:cs="宋体"/>
          <w:color w:val="auto"/>
        </w:rPr>
        <w:t>14.3 如因未翻译而造成的响应文件无效风险，由供应商承担。</w:t>
      </w:r>
    </w:p>
    <w:p>
      <w:pPr>
        <w:pStyle w:val="4"/>
        <w:keepNext w:val="0"/>
        <w:keepLines w:val="0"/>
        <w:spacing w:before="0" w:after="0" w:line="360" w:lineRule="auto"/>
        <w:ind w:firstLine="482" w:firstLineChars="200"/>
        <w:rPr>
          <w:rFonts w:ascii="仿宋" w:hAnsi="仿宋"/>
          <w:color w:val="auto"/>
          <w:sz w:val="24"/>
        </w:rPr>
      </w:pPr>
      <w:bookmarkStart w:id="55" w:name="_Toc183582216"/>
      <w:bookmarkStart w:id="56" w:name="_Toc217446044"/>
      <w:bookmarkStart w:id="57" w:name="_Toc183682353"/>
      <w:r>
        <w:rPr>
          <w:rFonts w:hint="eastAsia" w:ascii="仿宋" w:hAnsi="仿宋"/>
          <w:color w:val="auto"/>
          <w:sz w:val="24"/>
        </w:rPr>
        <w:t>15．计量单位</w:t>
      </w:r>
      <w:bookmarkEnd w:id="55"/>
      <w:bookmarkEnd w:id="56"/>
      <w:bookmarkEnd w:id="57"/>
    </w:p>
    <w:p>
      <w:pPr>
        <w:ind w:firstLine="470" w:firstLineChars="196"/>
        <w:rPr>
          <w:rFonts w:ascii="仿宋" w:hAnsi="仿宋"/>
          <w:color w:val="auto"/>
        </w:rPr>
      </w:pPr>
      <w:r>
        <w:rPr>
          <w:rFonts w:hint="eastAsia" w:ascii="仿宋" w:hAnsi="仿宋"/>
          <w:color w:val="auto"/>
        </w:rPr>
        <w:t>除询比文件中另有规定外，本次采购项目所有合同项下的报价均采用国家法定的计量单位。</w:t>
      </w:r>
      <w:bookmarkStart w:id="58" w:name="_Toc217446045"/>
    </w:p>
    <w:bookmarkEnd w:id="58"/>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16. 报价（实质性要求）</w:t>
      </w:r>
    </w:p>
    <w:p>
      <w:pPr>
        <w:ind w:firstLine="480" w:firstLineChars="200"/>
        <w:rPr>
          <w:rFonts w:ascii="仿宋" w:hAnsi="仿宋"/>
          <w:bCs/>
          <w:color w:val="auto"/>
        </w:rPr>
      </w:pPr>
      <w:r>
        <w:rPr>
          <w:rFonts w:hint="eastAsia" w:ascii="仿宋" w:hAnsi="仿宋"/>
          <w:bCs/>
          <w:color w:val="auto"/>
        </w:rPr>
        <w:t>16.1本次询比项目的报价货币为人民币，报价以询比文件规定为准。</w:t>
      </w:r>
    </w:p>
    <w:p>
      <w:pPr>
        <w:ind w:firstLine="480" w:firstLineChars="200"/>
        <w:rPr>
          <w:rFonts w:ascii="仿宋" w:hAnsi="仿宋"/>
          <w:bCs/>
          <w:color w:val="auto"/>
        </w:rPr>
      </w:pPr>
      <w:r>
        <w:rPr>
          <w:rFonts w:hint="eastAsia" w:ascii="仿宋" w:hAnsi="仿宋"/>
          <w:bCs/>
          <w:color w:val="auto"/>
        </w:rPr>
        <w:t>16.2 报价不得超过采购预算或最高限价（未公布采购预算的项目，此条不作实质性要求）。</w:t>
      </w:r>
    </w:p>
    <w:p>
      <w:pPr>
        <w:ind w:firstLine="468" w:firstLineChars="195"/>
        <w:rPr>
          <w:rFonts w:ascii="仿宋" w:hAnsi="仿宋"/>
          <w:b/>
          <w:bCs/>
          <w:color w:val="auto"/>
        </w:rPr>
      </w:pPr>
      <w:r>
        <w:rPr>
          <w:rFonts w:hint="eastAsia" w:ascii="仿宋" w:hAnsi="仿宋"/>
          <w:color w:val="auto"/>
        </w:rPr>
        <w:t>16.3供应商只允许有一个报价，任何有选择或可调整的报价将不予接受，并按无效报价处理</w:t>
      </w:r>
      <w:r>
        <w:rPr>
          <w:rFonts w:hint="eastAsia" w:ascii="仿宋" w:hAnsi="仿宋"/>
          <w:b/>
          <w:bCs/>
          <w:color w:val="auto"/>
        </w:rPr>
        <w:t>。</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17.响应文件格式</w:t>
      </w:r>
    </w:p>
    <w:p>
      <w:pPr>
        <w:ind w:left="2" w:leftChars="1" w:firstLine="480" w:firstLineChars="200"/>
        <w:rPr>
          <w:rFonts w:ascii="仿宋" w:hAnsi="仿宋"/>
          <w:color w:val="auto"/>
        </w:rPr>
      </w:pPr>
      <w:r>
        <w:rPr>
          <w:rFonts w:hint="eastAsia" w:ascii="仿宋" w:hAnsi="仿宋"/>
          <w:color w:val="auto"/>
        </w:rPr>
        <w:t>17.1 供应商应执行询比文件第五章的规定要求。</w:t>
      </w:r>
    </w:p>
    <w:p>
      <w:pPr>
        <w:ind w:left="2" w:leftChars="1" w:firstLine="480" w:firstLineChars="200"/>
        <w:rPr>
          <w:rFonts w:ascii="仿宋" w:hAnsi="仿宋"/>
          <w:color w:val="auto"/>
        </w:rPr>
      </w:pPr>
      <w:r>
        <w:rPr>
          <w:rFonts w:hint="eastAsia" w:ascii="仿宋" w:hAnsi="仿宋"/>
          <w:color w:val="auto"/>
        </w:rPr>
        <w:t>17.2 对于没有格式要求的响应文件由供应商自行编写。</w:t>
      </w:r>
      <w:bookmarkStart w:id="59" w:name="_Toc217446051"/>
      <w:bookmarkStart w:id="60" w:name="_Toc183582224"/>
      <w:bookmarkStart w:id="61" w:name="_Toc183682361"/>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18.响应文件的编制和签署</w:t>
      </w:r>
    </w:p>
    <w:bookmarkEnd w:id="59"/>
    <w:bookmarkEnd w:id="60"/>
    <w:bookmarkEnd w:id="61"/>
    <w:p>
      <w:pPr>
        <w:ind w:firstLine="470" w:firstLineChars="196"/>
        <w:rPr>
          <w:rFonts w:ascii="仿宋" w:hAnsi="仿宋"/>
          <w:color w:val="auto"/>
        </w:rPr>
      </w:pPr>
      <w:bookmarkStart w:id="62" w:name="_Toc217446053"/>
      <w:bookmarkStart w:id="63" w:name="_Toc183582226"/>
      <w:bookmarkStart w:id="64" w:name="_Toc77400781"/>
      <w:bookmarkStart w:id="65" w:name="_Toc89075877"/>
      <w:bookmarkStart w:id="66" w:name="_Toc183682363"/>
      <w:r>
        <w:rPr>
          <w:rFonts w:hint="eastAsia" w:ascii="仿宋" w:hAnsi="仿宋"/>
          <w:color w:val="auto"/>
        </w:rPr>
        <w:t>18.1</w:t>
      </w:r>
      <w:r>
        <w:rPr>
          <w:rFonts w:hint="eastAsia" w:ascii="仿宋" w:hAnsi="仿宋"/>
          <w:b/>
          <w:color w:val="auto"/>
        </w:rPr>
        <w:t>（实质性要求）</w:t>
      </w:r>
      <w:r>
        <w:rPr>
          <w:rFonts w:hint="eastAsia" w:ascii="仿宋" w:hAnsi="仿宋"/>
          <w:color w:val="auto"/>
        </w:rPr>
        <w:t>响应文件正本</w:t>
      </w:r>
      <w:r>
        <w:rPr>
          <w:rFonts w:ascii="仿宋" w:hAnsi="仿宋"/>
          <w:color w:val="auto"/>
        </w:rPr>
        <w:t>1</w:t>
      </w:r>
      <w:r>
        <w:rPr>
          <w:rFonts w:hint="eastAsia" w:ascii="仿宋" w:hAnsi="仿宋"/>
          <w:color w:val="auto"/>
        </w:rPr>
        <w:t>份，副本2份。</w:t>
      </w:r>
    </w:p>
    <w:p>
      <w:pPr>
        <w:ind w:firstLine="470" w:firstLineChars="196"/>
        <w:rPr>
          <w:rFonts w:ascii="仿宋" w:hAnsi="仿宋"/>
          <w:color w:val="auto"/>
        </w:rPr>
      </w:pPr>
      <w:r>
        <w:rPr>
          <w:rFonts w:hint="eastAsia" w:ascii="仿宋" w:hAnsi="仿宋"/>
          <w:color w:val="auto"/>
        </w:rPr>
        <w:t>18.2 响应文件正本、副本应在封面上清楚的标明响应文件、采购项目名称、采购项目编号、包件号及名称（若有）、供应商名称以及“正本”或“副本”字样。若正本和副本有不一致的内容，以正本书面响应文件为准。</w:t>
      </w:r>
    </w:p>
    <w:p>
      <w:pPr>
        <w:ind w:firstLine="470" w:firstLineChars="196"/>
        <w:rPr>
          <w:rFonts w:ascii="仿宋" w:hAnsi="仿宋"/>
          <w:color w:val="auto"/>
        </w:rPr>
      </w:pPr>
      <w:r>
        <w:rPr>
          <w:rFonts w:hint="eastAsia" w:ascii="仿宋" w:hAnsi="仿宋"/>
          <w:color w:val="auto"/>
        </w:rPr>
        <w:t>18.3响应文件正本和副本均需打印或用不褪色、不变质的墨水书写，并在规定签章处签字和盖章。响应文件副本可采用正本的复印件。</w:t>
      </w:r>
    </w:p>
    <w:p>
      <w:pPr>
        <w:tabs>
          <w:tab w:val="left" w:pos="1095"/>
        </w:tabs>
        <w:ind w:firstLine="460" w:firstLineChars="192"/>
        <w:rPr>
          <w:rFonts w:ascii="仿宋" w:hAnsi="仿宋"/>
          <w:color w:val="auto"/>
        </w:rPr>
      </w:pPr>
      <w:r>
        <w:rPr>
          <w:rFonts w:hint="eastAsia" w:ascii="仿宋" w:hAnsi="仿宋"/>
          <w:color w:val="auto"/>
        </w:rPr>
        <w:t>18.4响应文件的打印和书写应清楚工整，任何行间插字、涂改或增删，必须由供应商的法定代表人/单位负责人或其授权代表签字或盖供应商公章。字迹潦草、表达不清或可能导致非唯一理解的响应文件可能被作为无效处理。</w:t>
      </w:r>
    </w:p>
    <w:p>
      <w:pPr>
        <w:tabs>
          <w:tab w:val="left" w:pos="1080"/>
        </w:tabs>
        <w:ind w:firstLine="460" w:firstLineChars="192"/>
        <w:rPr>
          <w:rFonts w:ascii="仿宋" w:hAnsi="仿宋"/>
          <w:color w:val="auto"/>
        </w:rPr>
      </w:pPr>
      <w:r>
        <w:rPr>
          <w:rFonts w:hint="eastAsia" w:ascii="仿宋" w:hAnsi="仿宋"/>
          <w:color w:val="auto"/>
        </w:rPr>
        <w:t>18.5</w:t>
      </w:r>
      <w:r>
        <w:rPr>
          <w:rFonts w:hint="eastAsia" w:ascii="仿宋" w:hAnsi="仿宋"/>
          <w:b/>
          <w:color w:val="auto"/>
        </w:rPr>
        <w:t>（实质性要求）</w:t>
      </w:r>
      <w:r>
        <w:rPr>
          <w:rFonts w:hint="eastAsia" w:ascii="仿宋" w:hAnsi="仿宋"/>
          <w:color w:val="auto"/>
        </w:rPr>
        <w:t>响应文件应由供应商法定代表人/单位负责人/本人或其授权代表在采购文件要求的地方签字</w:t>
      </w:r>
      <w:r>
        <w:rPr>
          <w:rFonts w:hint="eastAsia" w:ascii="仿宋" w:hAnsi="仿宋"/>
          <w:bCs/>
          <w:color w:val="auto"/>
        </w:rPr>
        <w:t>（注：</w:t>
      </w:r>
      <w:r>
        <w:rPr>
          <w:rFonts w:hint="eastAsia" w:ascii="仿宋" w:hAnsi="仿宋"/>
          <w:color w:val="auto"/>
        </w:rPr>
        <w:t>供应商为法人的，应当由其法定代表人或者</w:t>
      </w:r>
      <w:r>
        <w:rPr>
          <w:rFonts w:hint="eastAsia" w:ascii="仿宋" w:hAnsi="仿宋"/>
          <w:bCs/>
          <w:color w:val="auto"/>
        </w:rPr>
        <w:t>授权代表</w:t>
      </w:r>
      <w:r>
        <w:rPr>
          <w:rFonts w:hint="eastAsia" w:ascii="仿宋" w:hAnsi="仿宋"/>
          <w:color w:val="auto"/>
        </w:rPr>
        <w:t>签字确认；供应商为其他组织的，应当由其主要负责人或者</w:t>
      </w:r>
      <w:r>
        <w:rPr>
          <w:rFonts w:hint="eastAsia" w:ascii="仿宋" w:hAnsi="仿宋"/>
          <w:bCs/>
          <w:color w:val="auto"/>
        </w:rPr>
        <w:t>授权代表</w:t>
      </w:r>
      <w:r>
        <w:rPr>
          <w:rFonts w:hint="eastAsia" w:ascii="仿宋" w:hAnsi="仿宋"/>
          <w:color w:val="auto"/>
        </w:rPr>
        <w:t>签字确认；供应商为自然人的，应当由其本人或者</w:t>
      </w:r>
      <w:r>
        <w:rPr>
          <w:rFonts w:hint="eastAsia" w:ascii="仿宋" w:hAnsi="仿宋"/>
          <w:bCs/>
          <w:color w:val="auto"/>
        </w:rPr>
        <w:t>授权代表</w:t>
      </w:r>
      <w:r>
        <w:rPr>
          <w:rFonts w:hint="eastAsia" w:ascii="仿宋" w:hAnsi="仿宋"/>
          <w:color w:val="auto"/>
        </w:rPr>
        <w:t>签字确认</w:t>
      </w:r>
      <w:r>
        <w:rPr>
          <w:rFonts w:hint="eastAsia" w:ascii="仿宋" w:hAnsi="仿宋"/>
          <w:bCs/>
          <w:color w:val="auto"/>
        </w:rPr>
        <w:t>）或加盖私人印章</w:t>
      </w:r>
      <w:r>
        <w:rPr>
          <w:rFonts w:hint="eastAsia" w:ascii="仿宋" w:hAnsi="仿宋"/>
          <w:color w:val="auto"/>
        </w:rPr>
        <w:t>，要求加盖公章的地方加盖单位公章，不得使用专用章（如经济合同章、投标专用章等）或下属单位印章代替。</w:t>
      </w:r>
    </w:p>
    <w:p>
      <w:pPr>
        <w:tabs>
          <w:tab w:val="left" w:pos="1080"/>
        </w:tabs>
        <w:ind w:firstLine="460" w:firstLineChars="192"/>
        <w:rPr>
          <w:rFonts w:ascii="仿宋" w:hAnsi="仿宋"/>
          <w:color w:val="auto"/>
        </w:rPr>
      </w:pPr>
      <w:r>
        <w:rPr>
          <w:rFonts w:hint="eastAsia" w:ascii="仿宋" w:hAnsi="仿宋"/>
          <w:color w:val="auto"/>
        </w:rPr>
        <w:t>18.6响应文件正本和副本需要逐页编码。</w:t>
      </w:r>
    </w:p>
    <w:p>
      <w:pPr>
        <w:tabs>
          <w:tab w:val="left" w:pos="1080"/>
        </w:tabs>
        <w:ind w:firstLine="460" w:firstLineChars="192"/>
        <w:rPr>
          <w:rFonts w:ascii="仿宋" w:hAnsi="仿宋"/>
          <w:color w:val="auto"/>
        </w:rPr>
      </w:pPr>
      <w:r>
        <w:rPr>
          <w:rFonts w:hint="eastAsia" w:ascii="仿宋" w:hAnsi="仿宋"/>
          <w:color w:val="auto"/>
        </w:rPr>
        <w:t>18.7响应文件正本和副本应当采用胶装方式装订成册，不得散装或者合页装订。</w:t>
      </w:r>
    </w:p>
    <w:p>
      <w:pPr>
        <w:tabs>
          <w:tab w:val="left" w:pos="1080"/>
        </w:tabs>
        <w:ind w:firstLine="460" w:firstLineChars="192"/>
        <w:rPr>
          <w:rFonts w:ascii="仿宋" w:hAnsi="仿宋"/>
          <w:color w:val="auto"/>
        </w:rPr>
      </w:pPr>
      <w:r>
        <w:rPr>
          <w:rFonts w:hint="eastAsia" w:ascii="仿宋" w:hAnsi="仿宋"/>
          <w:color w:val="auto"/>
        </w:rPr>
        <w:t>18.8</w:t>
      </w:r>
      <w:r>
        <w:rPr>
          <w:rFonts w:hint="eastAsia" w:ascii="仿宋" w:hAnsi="仿宋"/>
          <w:b/>
          <w:bCs/>
          <w:color w:val="auto"/>
        </w:rPr>
        <w:t>（实质性要求）</w:t>
      </w:r>
      <w:r>
        <w:rPr>
          <w:rFonts w:hint="eastAsia" w:ascii="仿宋" w:hAnsi="仿宋"/>
          <w:color w:val="auto"/>
        </w:rPr>
        <w:t>除询比文件另有规定外，响应文件应根据询比文件的要求签署、盖章（均指加盖鲜章）。</w:t>
      </w:r>
    </w:p>
    <w:p>
      <w:pPr>
        <w:tabs>
          <w:tab w:val="left" w:pos="1080"/>
        </w:tabs>
        <w:ind w:firstLine="460" w:firstLineChars="192"/>
        <w:rPr>
          <w:rFonts w:ascii="仿宋" w:hAnsi="仿宋"/>
          <w:color w:val="auto"/>
        </w:rPr>
      </w:pPr>
      <w:r>
        <w:rPr>
          <w:rFonts w:hint="eastAsia" w:ascii="仿宋" w:hAnsi="仿宋"/>
          <w:color w:val="auto"/>
        </w:rPr>
        <w:t>18.9</w:t>
      </w:r>
      <w:r>
        <w:rPr>
          <w:rFonts w:hint="eastAsia" w:ascii="仿宋" w:hAnsi="仿宋"/>
          <w:b/>
          <w:bCs/>
          <w:color w:val="auto"/>
        </w:rPr>
        <w:t>（实质性要求）</w:t>
      </w:r>
      <w:r>
        <w:rPr>
          <w:rFonts w:hint="eastAsia" w:ascii="仿宋" w:hAnsi="仿宋"/>
          <w:color w:val="auto"/>
        </w:rPr>
        <w:t>响应文件应根据询比文件的要求盖章（除询比文件另有规定外，均指加盖单位公章）。</w:t>
      </w:r>
    </w:p>
    <w:p>
      <w:pPr>
        <w:tabs>
          <w:tab w:val="left" w:pos="1080"/>
        </w:tabs>
        <w:ind w:firstLine="460" w:firstLineChars="192"/>
        <w:rPr>
          <w:rFonts w:ascii="仿宋" w:hAnsi="仿宋"/>
          <w:color w:val="auto"/>
        </w:rPr>
      </w:pPr>
      <w:r>
        <w:rPr>
          <w:rFonts w:hint="eastAsia" w:ascii="仿宋" w:hAnsi="仿宋"/>
          <w:color w:val="auto"/>
        </w:rPr>
        <w:t>18.10除另有规定外，响应文件统一用A4幅面纸印制（图纸、报表除外），并自目录第一页开始按自然数逐页编码。</w:t>
      </w:r>
    </w:p>
    <w:p>
      <w:pPr>
        <w:pStyle w:val="4"/>
        <w:keepNext w:val="0"/>
        <w:keepLines w:val="0"/>
        <w:spacing w:before="0" w:after="0" w:line="360" w:lineRule="auto"/>
        <w:ind w:firstLine="482" w:firstLineChars="200"/>
        <w:rPr>
          <w:rFonts w:ascii="仿宋" w:hAnsi="仿宋"/>
          <w:b w:val="0"/>
          <w:color w:val="auto"/>
          <w:sz w:val="24"/>
        </w:rPr>
      </w:pPr>
      <w:r>
        <w:rPr>
          <w:rFonts w:hint="eastAsia" w:ascii="仿宋" w:hAnsi="仿宋"/>
          <w:color w:val="auto"/>
          <w:sz w:val="24"/>
        </w:rPr>
        <w:t>19.响应文件的密封和标注（实质性要求）</w:t>
      </w:r>
    </w:p>
    <w:p>
      <w:pPr>
        <w:tabs>
          <w:tab w:val="left" w:pos="1080"/>
        </w:tabs>
        <w:ind w:firstLine="460" w:firstLineChars="192"/>
        <w:rPr>
          <w:rFonts w:ascii="仿宋" w:hAnsi="仿宋"/>
          <w:color w:val="auto"/>
        </w:rPr>
      </w:pPr>
      <w:r>
        <w:rPr>
          <w:rFonts w:hint="eastAsia" w:ascii="仿宋" w:hAnsi="仿宋"/>
          <w:color w:val="auto"/>
        </w:rPr>
        <w:t>19.1 响应文件可以单独密封包装，也可以所有响应文件密封包装在一个密封袋内。</w:t>
      </w:r>
    </w:p>
    <w:p>
      <w:pPr>
        <w:tabs>
          <w:tab w:val="left" w:pos="1080"/>
        </w:tabs>
        <w:ind w:firstLine="460" w:firstLineChars="192"/>
        <w:rPr>
          <w:rFonts w:ascii="仿宋" w:hAnsi="仿宋"/>
          <w:color w:val="auto"/>
        </w:rPr>
      </w:pPr>
      <w:r>
        <w:rPr>
          <w:rFonts w:hint="eastAsia" w:ascii="仿宋" w:hAnsi="仿宋"/>
          <w:color w:val="auto"/>
        </w:rPr>
        <w:t>19.2 响应文件密封袋的最外层应清楚地标明采购项目名称、采购编号、包件号及名称（如有）、供应商名称。</w:t>
      </w:r>
    </w:p>
    <w:p>
      <w:pPr>
        <w:tabs>
          <w:tab w:val="left" w:pos="1080"/>
        </w:tabs>
        <w:ind w:firstLine="460" w:firstLineChars="192"/>
        <w:rPr>
          <w:rFonts w:ascii="仿宋" w:hAnsi="仿宋"/>
          <w:color w:val="auto"/>
        </w:rPr>
      </w:pPr>
      <w:r>
        <w:rPr>
          <w:rFonts w:hint="eastAsia" w:ascii="仿宋" w:hAnsi="仿宋"/>
          <w:color w:val="auto"/>
        </w:rPr>
        <w:t>19.3 所有外层密封袋的封口处应粘贴牢固。</w:t>
      </w:r>
    </w:p>
    <w:p>
      <w:pPr>
        <w:tabs>
          <w:tab w:val="left" w:pos="1080"/>
        </w:tabs>
        <w:ind w:firstLine="460" w:firstLineChars="192"/>
        <w:rPr>
          <w:rFonts w:ascii="仿宋" w:hAnsi="仿宋"/>
          <w:color w:val="auto"/>
        </w:rPr>
      </w:pPr>
      <w:r>
        <w:rPr>
          <w:rFonts w:hint="eastAsia" w:ascii="仿宋" w:hAnsi="仿宋"/>
          <w:color w:val="auto"/>
        </w:rPr>
        <w:t>19.4 未密封的响应文件，采购人、采购代理机构将拒收或者在时间允许的范围内，要求修改完善后接收。</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20.响应文件的递交（实质性要求）</w:t>
      </w:r>
    </w:p>
    <w:p>
      <w:pPr>
        <w:tabs>
          <w:tab w:val="left" w:pos="1080"/>
        </w:tabs>
        <w:ind w:firstLine="460" w:firstLineChars="192"/>
        <w:rPr>
          <w:rFonts w:ascii="仿宋" w:hAnsi="仿宋"/>
          <w:color w:val="auto"/>
        </w:rPr>
      </w:pPr>
      <w:r>
        <w:rPr>
          <w:rFonts w:hint="eastAsia" w:ascii="仿宋" w:hAnsi="仿宋"/>
          <w:color w:val="auto"/>
        </w:rPr>
        <w:t>20.1响应文件应于递交响应文件截止时间前送达指定地点，采购代理机构拒绝接收截止时间后送达的响应文件。</w:t>
      </w:r>
    </w:p>
    <w:p>
      <w:pPr>
        <w:tabs>
          <w:tab w:val="left" w:pos="1080"/>
        </w:tabs>
        <w:ind w:firstLine="460" w:firstLineChars="192"/>
        <w:rPr>
          <w:rFonts w:ascii="仿宋" w:hAnsi="仿宋"/>
          <w:color w:val="auto"/>
        </w:rPr>
      </w:pPr>
      <w:r>
        <w:rPr>
          <w:rFonts w:hint="eastAsia" w:ascii="仿宋" w:hAnsi="仿宋"/>
          <w:color w:val="auto"/>
        </w:rPr>
        <w:t>20.2 本次采购接收邮寄的响应文件。</w:t>
      </w:r>
    </w:p>
    <w:bookmarkEnd w:id="62"/>
    <w:bookmarkEnd w:id="63"/>
    <w:bookmarkEnd w:id="64"/>
    <w:bookmarkEnd w:id="65"/>
    <w:bookmarkEnd w:id="66"/>
    <w:p>
      <w:pPr>
        <w:pStyle w:val="4"/>
        <w:keepNext w:val="0"/>
        <w:keepLines w:val="0"/>
        <w:spacing w:before="0" w:after="0" w:line="360" w:lineRule="auto"/>
        <w:ind w:firstLine="482" w:firstLineChars="200"/>
        <w:rPr>
          <w:rFonts w:ascii="仿宋" w:hAnsi="仿宋"/>
          <w:color w:val="auto"/>
          <w:sz w:val="24"/>
        </w:rPr>
      </w:pPr>
      <w:bookmarkStart w:id="67" w:name="_Toc217446055"/>
      <w:bookmarkStart w:id="68" w:name="_Toc183582228"/>
      <w:bookmarkStart w:id="69" w:name="_Toc183682365"/>
      <w:r>
        <w:rPr>
          <w:rFonts w:hint="eastAsia" w:ascii="仿宋" w:hAnsi="仿宋"/>
          <w:color w:val="auto"/>
          <w:sz w:val="24"/>
        </w:rPr>
        <w:t>21.响应文件的修改和撤回（补充、修改响应文件的密封和标注按照本章“19.响应文件的密封和标注”规定处理）（实质性要求）</w:t>
      </w:r>
    </w:p>
    <w:p>
      <w:pPr>
        <w:pStyle w:val="7"/>
        <w:ind w:firstLine="480"/>
        <w:rPr>
          <w:rFonts w:ascii="仿宋" w:hAnsi="仿宋"/>
          <w:color w:val="auto"/>
        </w:rPr>
      </w:pPr>
      <w:r>
        <w:rPr>
          <w:rFonts w:hint="eastAsia" w:ascii="仿宋" w:hAnsi="仿宋"/>
          <w:color w:val="auto"/>
        </w:rPr>
        <w:t>21</w:t>
      </w:r>
      <w:r>
        <w:rPr>
          <w:rFonts w:ascii="仿宋" w:hAnsi="仿宋"/>
          <w:color w:val="auto"/>
        </w:rPr>
        <w:t>.</w:t>
      </w:r>
      <w:r>
        <w:rPr>
          <w:rFonts w:hint="eastAsia" w:ascii="仿宋" w:hAnsi="仿宋"/>
          <w:color w:val="auto"/>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adjustRightInd w:val="0"/>
        <w:snapToGrid w:val="0"/>
        <w:ind w:firstLine="480" w:firstLineChars="200"/>
        <w:rPr>
          <w:rFonts w:ascii="仿宋" w:hAnsi="仿宋"/>
          <w:color w:val="auto"/>
        </w:rPr>
      </w:pPr>
      <w:r>
        <w:rPr>
          <w:rFonts w:hint="eastAsia" w:ascii="仿宋" w:hAnsi="仿宋"/>
          <w:color w:val="auto"/>
        </w:rPr>
        <w:t>21</w:t>
      </w:r>
      <w:r>
        <w:rPr>
          <w:rFonts w:ascii="仿宋" w:hAnsi="仿宋"/>
          <w:color w:val="auto"/>
        </w:rPr>
        <w:t>.</w:t>
      </w:r>
      <w:r>
        <w:rPr>
          <w:rFonts w:hint="eastAsia" w:ascii="仿宋" w:hAnsi="仿宋"/>
          <w:color w:val="auto"/>
        </w:rPr>
        <w:t>2供应商对响应文件修改的书面材料或撤回的通知应该按规定进行编写、密封、标注和递送，并注明“修改响应文件”字样。</w:t>
      </w:r>
    </w:p>
    <w:p>
      <w:pPr>
        <w:adjustRightInd w:val="0"/>
        <w:snapToGrid w:val="0"/>
        <w:ind w:firstLine="480" w:firstLineChars="200"/>
        <w:rPr>
          <w:rFonts w:ascii="仿宋" w:hAnsi="仿宋"/>
          <w:color w:val="auto"/>
        </w:rPr>
      </w:pPr>
      <w:r>
        <w:rPr>
          <w:rFonts w:hint="eastAsia" w:ascii="仿宋" w:hAnsi="仿宋"/>
          <w:color w:val="auto"/>
        </w:rPr>
        <w:t>21</w:t>
      </w:r>
      <w:r>
        <w:rPr>
          <w:rFonts w:ascii="仿宋" w:hAnsi="仿宋"/>
          <w:color w:val="auto"/>
        </w:rPr>
        <w:t>.</w:t>
      </w:r>
      <w:r>
        <w:rPr>
          <w:rFonts w:hint="eastAsia" w:ascii="仿宋" w:hAnsi="仿宋"/>
          <w:color w:val="auto"/>
        </w:rPr>
        <w:t>3 供应商不得在递交截止时间起至响应文件有效期期满前撤销其响应文件。否则其询比保证金将按相关规定不予退还。</w:t>
      </w:r>
    </w:p>
    <w:p>
      <w:pPr>
        <w:ind w:firstLine="480"/>
        <w:rPr>
          <w:rFonts w:ascii="仿宋" w:hAnsi="仿宋"/>
          <w:color w:val="auto"/>
        </w:rPr>
      </w:pPr>
      <w:r>
        <w:rPr>
          <w:rFonts w:hint="eastAsia" w:ascii="仿宋" w:hAnsi="仿宋"/>
          <w:color w:val="auto"/>
        </w:rPr>
        <w:t>21.4供应商对其提交的响应文件的真实性、合法性承担法律责任。</w:t>
      </w:r>
      <w:bookmarkEnd w:id="67"/>
      <w:bookmarkEnd w:id="68"/>
      <w:bookmarkEnd w:id="69"/>
    </w:p>
    <w:p>
      <w:pPr>
        <w:pStyle w:val="3"/>
        <w:keepNext w:val="0"/>
        <w:keepLines w:val="0"/>
        <w:spacing w:line="360" w:lineRule="auto"/>
        <w:jc w:val="center"/>
        <w:rPr>
          <w:rFonts w:ascii="仿宋" w:hAnsi="仿宋" w:eastAsia="仿宋"/>
          <w:color w:val="auto"/>
        </w:rPr>
      </w:pPr>
      <w:r>
        <w:rPr>
          <w:rFonts w:hint="eastAsia" w:ascii="仿宋" w:hAnsi="仿宋" w:eastAsia="仿宋"/>
          <w:color w:val="auto"/>
        </w:rPr>
        <w:t>五、评审</w:t>
      </w:r>
    </w:p>
    <w:p>
      <w:pPr>
        <w:pStyle w:val="4"/>
        <w:keepNext w:val="0"/>
        <w:keepLines w:val="0"/>
        <w:spacing w:before="0" w:after="0" w:line="360" w:lineRule="auto"/>
        <w:ind w:firstLine="482" w:firstLineChars="200"/>
        <w:rPr>
          <w:rFonts w:ascii="仿宋" w:hAnsi="仿宋"/>
          <w:b w:val="0"/>
          <w:color w:val="auto"/>
          <w:sz w:val="24"/>
          <w:szCs w:val="24"/>
        </w:rPr>
      </w:pPr>
      <w:r>
        <w:rPr>
          <w:rFonts w:hint="eastAsia" w:ascii="仿宋" w:hAnsi="仿宋"/>
          <w:color w:val="auto"/>
          <w:sz w:val="24"/>
        </w:rPr>
        <w:t>22.评审小组的组建及其评审工作按照有关法律制度和本文件第六章的规定进行。</w:t>
      </w:r>
    </w:p>
    <w:p>
      <w:pPr>
        <w:pStyle w:val="3"/>
        <w:keepNext w:val="0"/>
        <w:keepLines w:val="0"/>
        <w:spacing w:line="360" w:lineRule="auto"/>
        <w:jc w:val="center"/>
        <w:rPr>
          <w:rFonts w:ascii="仿宋" w:hAnsi="仿宋" w:eastAsia="仿宋"/>
          <w:color w:val="auto"/>
        </w:rPr>
      </w:pPr>
      <w:r>
        <w:rPr>
          <w:rFonts w:hint="eastAsia" w:ascii="仿宋" w:hAnsi="仿宋" w:eastAsia="仿宋"/>
          <w:color w:val="auto"/>
        </w:rPr>
        <w:t>六、成交事项</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23.确定成交供应商</w:t>
      </w:r>
    </w:p>
    <w:p>
      <w:pPr>
        <w:pStyle w:val="3"/>
        <w:keepNext w:val="0"/>
        <w:keepLines w:val="0"/>
        <w:spacing w:before="0" w:after="0" w:line="360" w:lineRule="auto"/>
        <w:ind w:firstLine="480" w:firstLineChars="200"/>
        <w:rPr>
          <w:rFonts w:ascii="仿宋" w:hAnsi="仿宋" w:eastAsia="仿宋"/>
          <w:b w:val="0"/>
          <w:color w:val="auto"/>
          <w:sz w:val="24"/>
          <w:szCs w:val="24"/>
        </w:rPr>
      </w:pPr>
      <w:bookmarkStart w:id="70" w:name="_Toc66006438"/>
      <w:bookmarkStart w:id="71" w:name="_Toc31721908"/>
      <w:bookmarkStart w:id="72" w:name="_Hlk97623507"/>
      <w:r>
        <w:rPr>
          <w:rFonts w:hint="eastAsia" w:ascii="仿宋" w:hAnsi="仿宋" w:eastAsia="仿宋"/>
          <w:b w:val="0"/>
          <w:color w:val="auto"/>
          <w:sz w:val="24"/>
          <w:szCs w:val="24"/>
        </w:rPr>
        <w:t>23.1方式一：采购人将按评审小组推荐的成交候选供应商顺序确定成交供应商。</w:t>
      </w:r>
    </w:p>
    <w:p>
      <w:pPr>
        <w:pStyle w:val="3"/>
        <w:keepNext w:val="0"/>
        <w:keepLines w:val="0"/>
        <w:spacing w:before="0" w:after="0" w:line="360" w:lineRule="auto"/>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（1）采购代理机构自评审结束后2个工作日内将评审报告及有关资料送交采购人确定成交供应商。</w:t>
      </w:r>
    </w:p>
    <w:p>
      <w:pPr>
        <w:pStyle w:val="3"/>
        <w:keepNext w:val="0"/>
        <w:keepLines w:val="0"/>
        <w:spacing w:before="0" w:after="0" w:line="360" w:lineRule="auto"/>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2）采购人收到评审报告及有关资料后，将在5个工作日内按照评审报告中推荐的成交候选供应商顺序确定成交供应商。成交候选供应商并列的，采购人自主采取公平、择优的方式选择成交供应商。采购人逾期未确定成交供应商且不提出异议的，视为确定评审报告提出的排序第一的供应商为成交供应商。</w:t>
      </w:r>
    </w:p>
    <w:p>
      <w:pPr>
        <w:pStyle w:val="3"/>
        <w:keepNext w:val="0"/>
        <w:keepLines w:val="0"/>
        <w:spacing w:before="0" w:after="0" w:line="360" w:lineRule="auto"/>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23.2方式二：采购人授权评审小组直接确定成交供应商。</w:t>
      </w:r>
    </w:p>
    <w:p>
      <w:pPr>
        <w:pStyle w:val="3"/>
        <w:keepNext w:val="0"/>
        <w:keepLines w:val="0"/>
        <w:spacing w:before="0" w:after="0" w:line="360" w:lineRule="auto"/>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（1）评审小组按照评审报告中推荐的成交候选供应商顺序确定成交供应商。成交候选供应商并列的，评审小组自主采取公平、择优的方式选择成交供应商。</w:t>
      </w:r>
    </w:p>
    <w:p>
      <w:pPr>
        <w:pStyle w:val="3"/>
        <w:keepNext w:val="0"/>
        <w:keepLines w:val="0"/>
        <w:spacing w:before="0" w:after="0" w:line="360" w:lineRule="auto"/>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（2）采购代理机构自评审结束后2个工作日内将评审报告及有关资料送交采购人。</w:t>
      </w:r>
    </w:p>
    <w:p>
      <w:pPr>
        <w:pStyle w:val="3"/>
        <w:keepNext w:val="0"/>
        <w:keepLines w:val="0"/>
        <w:spacing w:before="0" w:after="0" w:line="360" w:lineRule="auto"/>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本项目采用方式二确定成交供应商。</w:t>
      </w:r>
    </w:p>
    <w:bookmarkEnd w:id="70"/>
    <w:bookmarkEnd w:id="71"/>
    <w:p>
      <w:pPr>
        <w:pStyle w:val="3"/>
        <w:keepNext w:val="0"/>
        <w:keepLines w:val="0"/>
        <w:spacing w:before="0" w:after="0" w:line="360" w:lineRule="auto"/>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23.3采购人或评审小组确定成交供应商过程中，发现成交候选供应商有下列情形之一的，应当不予确定其为成交供应商:</w:t>
      </w:r>
    </w:p>
    <w:bookmarkEnd w:id="72"/>
    <w:p>
      <w:pPr>
        <w:ind w:firstLine="424" w:firstLineChars="177"/>
        <w:rPr>
          <w:rFonts w:ascii="仿宋" w:hAnsi="仿宋"/>
          <w:color w:val="auto"/>
        </w:rPr>
      </w:pPr>
      <w:r>
        <w:rPr>
          <w:rFonts w:hint="eastAsia" w:ascii="仿宋" w:hAnsi="仿宋"/>
          <w:color w:val="auto"/>
        </w:rPr>
        <w:t>（1）发现成交候选供应商存在禁止参加本项目采购活动的违法行为的；</w:t>
      </w:r>
    </w:p>
    <w:p>
      <w:pPr>
        <w:ind w:firstLine="424" w:firstLineChars="177"/>
        <w:rPr>
          <w:rFonts w:ascii="仿宋" w:hAnsi="仿宋"/>
          <w:color w:val="auto"/>
        </w:rPr>
      </w:pPr>
      <w:r>
        <w:rPr>
          <w:rFonts w:hint="eastAsia" w:ascii="仿宋" w:hAnsi="仿宋"/>
          <w:color w:val="auto"/>
        </w:rPr>
        <w:t>（2）成交候选供应商因不可抗力，不能继续参加采购活动的；</w:t>
      </w:r>
    </w:p>
    <w:p>
      <w:pPr>
        <w:ind w:firstLine="424" w:firstLineChars="177"/>
        <w:rPr>
          <w:rFonts w:ascii="仿宋" w:hAnsi="仿宋"/>
          <w:color w:val="auto"/>
        </w:rPr>
      </w:pPr>
      <w:r>
        <w:rPr>
          <w:rFonts w:hint="eastAsia" w:ascii="仿宋" w:hAnsi="仿宋"/>
          <w:color w:val="auto"/>
        </w:rPr>
        <w:t>（3）成交候选供应商无偿赠与或者低于成本价竞争的；</w:t>
      </w:r>
    </w:p>
    <w:p>
      <w:pPr>
        <w:ind w:firstLine="424" w:firstLineChars="177"/>
        <w:rPr>
          <w:rFonts w:ascii="仿宋" w:hAnsi="仿宋"/>
          <w:color w:val="auto"/>
        </w:rPr>
      </w:pPr>
      <w:r>
        <w:rPr>
          <w:rFonts w:hint="eastAsia" w:ascii="仿宋" w:hAnsi="仿宋"/>
          <w:color w:val="auto"/>
        </w:rPr>
        <w:t>（4）成交候选供应商提供虚假材料的；</w:t>
      </w:r>
    </w:p>
    <w:p>
      <w:pPr>
        <w:ind w:firstLine="424" w:firstLineChars="177"/>
        <w:rPr>
          <w:rFonts w:ascii="仿宋" w:hAnsi="仿宋"/>
          <w:color w:val="auto"/>
        </w:rPr>
      </w:pPr>
      <w:r>
        <w:rPr>
          <w:rFonts w:hint="eastAsia" w:ascii="仿宋" w:hAnsi="仿宋"/>
          <w:color w:val="auto"/>
        </w:rPr>
        <w:t>（5）成交候选供应商恶意串通的。</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2</w:t>
      </w:r>
      <w:r>
        <w:rPr>
          <w:rFonts w:ascii="仿宋" w:hAnsi="仿宋"/>
          <w:color w:val="auto"/>
          <w:sz w:val="24"/>
        </w:rPr>
        <w:t>4</w:t>
      </w:r>
      <w:r>
        <w:rPr>
          <w:rFonts w:hint="eastAsia" w:ascii="仿宋" w:hAnsi="仿宋"/>
          <w:color w:val="auto"/>
          <w:sz w:val="24"/>
        </w:rPr>
        <w:t>.成交结果</w:t>
      </w:r>
    </w:p>
    <w:p>
      <w:pPr>
        <w:ind w:firstLine="424" w:firstLineChars="177"/>
        <w:rPr>
          <w:rFonts w:ascii="仿宋" w:hAnsi="仿宋"/>
          <w:color w:val="auto"/>
        </w:rPr>
      </w:pPr>
      <w:r>
        <w:rPr>
          <w:rFonts w:hint="eastAsia" w:ascii="仿宋" w:hAnsi="仿宋"/>
          <w:color w:val="auto"/>
        </w:rPr>
        <w:t>2</w:t>
      </w:r>
      <w:r>
        <w:rPr>
          <w:rFonts w:ascii="仿宋" w:hAnsi="仿宋"/>
          <w:color w:val="auto"/>
        </w:rPr>
        <w:t>4</w:t>
      </w:r>
      <w:r>
        <w:rPr>
          <w:rFonts w:hint="eastAsia" w:ascii="仿宋" w:hAnsi="仿宋"/>
          <w:color w:val="auto"/>
        </w:rPr>
        <w:t>.1采购人或评审小组确定成交供应商后，将及时书面通知采购代理机构。采用公告邀请方式的采购项目，发出成交通知书并在中国工程物理研究院招投标信息网上发布成交公告。采用直接邀请方式的采购项目，根据采购人或评审小组的确认函向成交人发出成交通知书。</w:t>
      </w:r>
    </w:p>
    <w:p>
      <w:pPr>
        <w:ind w:firstLine="424" w:firstLineChars="177"/>
        <w:rPr>
          <w:rFonts w:ascii="仿宋" w:hAnsi="仿宋"/>
          <w:color w:val="auto"/>
        </w:rPr>
      </w:pPr>
      <w:r>
        <w:rPr>
          <w:rFonts w:hint="eastAsia" w:ascii="仿宋" w:hAnsi="仿宋"/>
          <w:color w:val="auto"/>
        </w:rPr>
        <w:t>2</w:t>
      </w:r>
      <w:r>
        <w:rPr>
          <w:rFonts w:ascii="仿宋" w:hAnsi="仿宋"/>
          <w:color w:val="auto"/>
        </w:rPr>
        <w:t>4</w:t>
      </w:r>
      <w:r>
        <w:rPr>
          <w:rFonts w:hint="eastAsia" w:ascii="仿宋" w:hAnsi="仿宋"/>
          <w:color w:val="auto"/>
        </w:rPr>
        <w:t>.2成交供应商应当及时领取成交通知书。本项目需要交纳履约保证金的，成交供应商应当及时向采购人交纳。</w:t>
      </w:r>
    </w:p>
    <w:p>
      <w:pPr>
        <w:ind w:firstLine="424" w:firstLineChars="177"/>
        <w:rPr>
          <w:rFonts w:ascii="仿宋" w:hAnsi="仿宋"/>
          <w:color w:val="auto"/>
        </w:rPr>
      </w:pPr>
      <w:r>
        <w:rPr>
          <w:rFonts w:hint="eastAsia" w:ascii="仿宋" w:hAnsi="仿宋"/>
          <w:color w:val="auto"/>
        </w:rPr>
        <w:t>2</w:t>
      </w:r>
      <w:r>
        <w:rPr>
          <w:rFonts w:ascii="仿宋" w:hAnsi="仿宋"/>
          <w:color w:val="auto"/>
        </w:rPr>
        <w:t>4</w:t>
      </w:r>
      <w:r>
        <w:rPr>
          <w:rFonts w:hint="eastAsia" w:ascii="仿宋" w:hAnsi="仿宋"/>
          <w:color w:val="auto"/>
        </w:rPr>
        <w:t>.3成交供应商不能及时领取成交通知书，采购人或者采购代理机构应当通过邮寄、快递等方式将项目成交通知书送达成交供应商。</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2</w:t>
      </w:r>
      <w:r>
        <w:rPr>
          <w:rFonts w:ascii="仿宋" w:hAnsi="仿宋"/>
          <w:color w:val="auto"/>
          <w:sz w:val="24"/>
        </w:rPr>
        <w:t>5</w:t>
      </w:r>
      <w:r>
        <w:rPr>
          <w:rFonts w:hint="eastAsia" w:ascii="仿宋" w:hAnsi="仿宋"/>
          <w:color w:val="auto"/>
          <w:sz w:val="24"/>
        </w:rPr>
        <w:t>.成交通知书</w:t>
      </w:r>
    </w:p>
    <w:p>
      <w:pPr>
        <w:ind w:firstLine="424" w:firstLineChars="177"/>
        <w:rPr>
          <w:rFonts w:ascii="仿宋" w:hAnsi="仿宋"/>
          <w:color w:val="auto"/>
        </w:rPr>
      </w:pPr>
      <w:r>
        <w:rPr>
          <w:rFonts w:hint="eastAsia" w:ascii="仿宋" w:hAnsi="仿宋"/>
          <w:color w:val="auto"/>
        </w:rPr>
        <w:t>2</w:t>
      </w:r>
      <w:r>
        <w:rPr>
          <w:rFonts w:ascii="仿宋" w:hAnsi="仿宋"/>
          <w:color w:val="auto"/>
        </w:rPr>
        <w:t>5</w:t>
      </w:r>
      <w:r>
        <w:rPr>
          <w:rFonts w:hint="eastAsia" w:ascii="仿宋" w:hAnsi="仿宋"/>
          <w:color w:val="auto"/>
        </w:rPr>
        <w:t>.1成交通知书为签订采购合同的依据之一，是合同的有效组成部分。</w:t>
      </w:r>
    </w:p>
    <w:p>
      <w:pPr>
        <w:ind w:firstLine="424" w:firstLineChars="177"/>
        <w:rPr>
          <w:rFonts w:ascii="仿宋" w:hAnsi="仿宋"/>
          <w:color w:val="auto"/>
        </w:rPr>
      </w:pPr>
      <w:r>
        <w:rPr>
          <w:rFonts w:hint="eastAsia" w:ascii="仿宋" w:hAnsi="仿宋"/>
          <w:color w:val="auto"/>
        </w:rPr>
        <w:t>2</w:t>
      </w:r>
      <w:r>
        <w:rPr>
          <w:rFonts w:ascii="仿宋" w:hAnsi="仿宋"/>
          <w:color w:val="auto"/>
        </w:rPr>
        <w:t>5</w:t>
      </w:r>
      <w:r>
        <w:rPr>
          <w:rFonts w:hint="eastAsia" w:ascii="仿宋" w:hAnsi="仿宋"/>
          <w:color w:val="auto"/>
        </w:rPr>
        <w:t>.2成交通知书对采购人和成交供应商均具有法律效力。成交通知书发出后，采购人无正当理由改变成交结果，或者成交供应商无正当理由放弃成交的，将承担相应的法律责任。</w:t>
      </w:r>
    </w:p>
    <w:p>
      <w:pPr>
        <w:ind w:firstLine="424" w:firstLineChars="177"/>
        <w:rPr>
          <w:rFonts w:ascii="仿宋" w:hAnsi="仿宋"/>
          <w:color w:val="auto"/>
        </w:rPr>
      </w:pPr>
      <w:r>
        <w:rPr>
          <w:rFonts w:hint="eastAsia" w:ascii="仿宋" w:hAnsi="仿宋"/>
          <w:color w:val="auto"/>
        </w:rPr>
        <w:t>2</w:t>
      </w:r>
      <w:r>
        <w:rPr>
          <w:rFonts w:ascii="仿宋" w:hAnsi="仿宋"/>
          <w:color w:val="auto"/>
        </w:rPr>
        <w:t>5</w:t>
      </w:r>
      <w:r>
        <w:rPr>
          <w:rFonts w:hint="eastAsia" w:ascii="仿宋" w:hAnsi="仿宋"/>
          <w:color w:val="auto"/>
        </w:rPr>
        <w:t>.3成交供应商的响应文件作为无效响应文件处理或者有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3"/>
        <w:keepNext w:val="0"/>
        <w:keepLines w:val="0"/>
        <w:spacing w:line="360" w:lineRule="auto"/>
        <w:jc w:val="center"/>
        <w:rPr>
          <w:rFonts w:ascii="仿宋" w:hAnsi="仿宋" w:eastAsia="仿宋"/>
          <w:color w:val="auto"/>
        </w:rPr>
      </w:pPr>
      <w:r>
        <w:rPr>
          <w:rFonts w:hint="eastAsia" w:ascii="仿宋" w:hAnsi="仿宋" w:eastAsia="仿宋"/>
          <w:color w:val="auto"/>
        </w:rPr>
        <w:t>七、合同事项</w:t>
      </w:r>
    </w:p>
    <w:p>
      <w:pPr>
        <w:pStyle w:val="4"/>
        <w:keepNext w:val="0"/>
        <w:keepLines w:val="0"/>
        <w:spacing w:before="0" w:after="0" w:line="360" w:lineRule="auto"/>
        <w:ind w:firstLine="482" w:firstLineChars="200"/>
        <w:rPr>
          <w:rFonts w:ascii="仿宋" w:hAnsi="仿宋"/>
          <w:color w:val="auto"/>
          <w:sz w:val="24"/>
        </w:rPr>
      </w:pPr>
      <w:bookmarkStart w:id="73" w:name="_Toc101174151"/>
      <w:bookmarkStart w:id="74" w:name="_Toc209847069"/>
      <w:bookmarkStart w:id="75" w:name="_Toc101250646"/>
      <w:bookmarkStart w:id="76" w:name="_Toc430773927"/>
      <w:bookmarkStart w:id="77" w:name="_Toc101338364"/>
      <w:r>
        <w:rPr>
          <w:rFonts w:hint="eastAsia" w:ascii="仿宋" w:hAnsi="仿宋"/>
          <w:color w:val="auto"/>
          <w:sz w:val="24"/>
        </w:rPr>
        <w:t>2</w:t>
      </w:r>
      <w:r>
        <w:rPr>
          <w:rFonts w:ascii="仿宋" w:hAnsi="仿宋"/>
          <w:color w:val="auto"/>
          <w:sz w:val="24"/>
        </w:rPr>
        <w:t>6</w:t>
      </w:r>
      <w:r>
        <w:rPr>
          <w:rFonts w:hint="eastAsia" w:ascii="仿宋" w:hAnsi="仿宋"/>
          <w:color w:val="auto"/>
          <w:sz w:val="24"/>
        </w:rPr>
        <w:t>.签订合同</w:t>
      </w:r>
      <w:bookmarkEnd w:id="73"/>
      <w:bookmarkEnd w:id="74"/>
      <w:bookmarkEnd w:id="75"/>
      <w:bookmarkEnd w:id="76"/>
      <w:bookmarkEnd w:id="77"/>
    </w:p>
    <w:p>
      <w:pPr>
        <w:ind w:firstLine="480" w:firstLineChars="200"/>
        <w:rPr>
          <w:rFonts w:ascii="仿宋" w:hAnsi="仿宋"/>
          <w:color w:val="auto"/>
        </w:rPr>
      </w:pPr>
      <w:r>
        <w:rPr>
          <w:rFonts w:hint="eastAsia" w:ascii="仿宋" w:hAnsi="仿宋"/>
          <w:color w:val="auto"/>
        </w:rPr>
        <w:t>2</w:t>
      </w:r>
      <w:r>
        <w:rPr>
          <w:rFonts w:ascii="仿宋" w:hAnsi="仿宋"/>
          <w:color w:val="auto"/>
        </w:rPr>
        <w:t>6</w:t>
      </w:r>
      <w:r>
        <w:rPr>
          <w:rFonts w:hint="eastAsia" w:ascii="仿宋" w:hAnsi="仿宋"/>
          <w:color w:val="auto"/>
        </w:rPr>
        <w:t>.1 成交供应商应在成交通知书发出之日起三十日内与采购人签订采购合同。由于成交供应商的原因逾期未与采购人签订采购合同的，将视为放弃成交，取消其成交资格并将按相关规定进行处理。</w:t>
      </w:r>
    </w:p>
    <w:p>
      <w:pPr>
        <w:ind w:firstLine="480" w:firstLineChars="200"/>
        <w:rPr>
          <w:rFonts w:ascii="仿宋" w:hAnsi="仿宋"/>
          <w:color w:val="auto"/>
        </w:rPr>
      </w:pPr>
      <w:r>
        <w:rPr>
          <w:rFonts w:hint="eastAsia" w:ascii="仿宋" w:hAnsi="仿宋"/>
          <w:color w:val="auto"/>
        </w:rPr>
        <w:t>2</w:t>
      </w:r>
      <w:r>
        <w:rPr>
          <w:rFonts w:ascii="仿宋" w:hAnsi="仿宋"/>
          <w:color w:val="auto"/>
        </w:rPr>
        <w:t>6</w:t>
      </w:r>
      <w:r>
        <w:rPr>
          <w:rFonts w:hint="eastAsia" w:ascii="仿宋" w:hAnsi="仿宋"/>
          <w:color w:val="auto"/>
        </w:rPr>
        <w:t>.2 询比文件、成交供应商的响应文件及双方确认的澄清文件等，均为有法律约束力的经济合同的组成部分。</w:t>
      </w:r>
    </w:p>
    <w:p>
      <w:pPr>
        <w:ind w:firstLine="480" w:firstLineChars="200"/>
        <w:rPr>
          <w:rFonts w:ascii="仿宋" w:hAnsi="仿宋"/>
          <w:color w:val="auto"/>
        </w:rPr>
      </w:pPr>
      <w:r>
        <w:rPr>
          <w:rFonts w:hint="eastAsia" w:ascii="仿宋" w:hAnsi="仿宋"/>
          <w:color w:val="auto"/>
        </w:rPr>
        <w:t>2</w:t>
      </w:r>
      <w:r>
        <w:rPr>
          <w:rFonts w:ascii="仿宋" w:hAnsi="仿宋"/>
          <w:color w:val="auto"/>
        </w:rPr>
        <w:t>6</w:t>
      </w:r>
      <w:r>
        <w:rPr>
          <w:rFonts w:hint="eastAsia" w:ascii="仿宋" w:hAnsi="仿宋"/>
          <w:color w:val="auto"/>
        </w:rPr>
        <w:t>.3 采购人不得向成交供应商提出任何不合理的要求，作为签订合同的条件，不得与成交供应商私下订立背离合同实质性内容的任何协议，所签订的合同不得对询比文件和成交供应商响应文件确定的事项进行修改。</w:t>
      </w:r>
    </w:p>
    <w:p>
      <w:pPr>
        <w:ind w:firstLine="480" w:firstLineChars="200"/>
        <w:rPr>
          <w:rFonts w:ascii="仿宋" w:hAnsi="仿宋"/>
          <w:color w:val="auto"/>
        </w:rPr>
      </w:pPr>
      <w:r>
        <w:rPr>
          <w:rFonts w:hint="eastAsia" w:ascii="仿宋" w:hAnsi="仿宋"/>
          <w:color w:val="auto"/>
        </w:rPr>
        <w:t>2</w:t>
      </w:r>
      <w:r>
        <w:rPr>
          <w:rFonts w:ascii="仿宋" w:hAnsi="仿宋"/>
          <w:color w:val="auto"/>
        </w:rPr>
        <w:t>6</w:t>
      </w:r>
      <w:r>
        <w:rPr>
          <w:rFonts w:hint="eastAsia" w:ascii="仿宋" w:hAnsi="仿宋"/>
          <w:color w:val="auto"/>
        </w:rPr>
        <w:t>.4 成交供应商因不可抗力原因不能履行采购合同或放弃成交的，采购人可以与排在成交供应商之后第一位的成交候选人签订采购合同，以此类推。</w:t>
      </w:r>
    </w:p>
    <w:p>
      <w:pPr>
        <w:ind w:firstLine="480" w:firstLineChars="200"/>
        <w:rPr>
          <w:rFonts w:ascii="仿宋" w:hAnsi="仿宋"/>
          <w:color w:val="auto"/>
        </w:rPr>
      </w:pPr>
      <w:r>
        <w:rPr>
          <w:rFonts w:hint="eastAsia" w:ascii="仿宋" w:hAnsi="仿宋"/>
          <w:color w:val="auto"/>
        </w:rPr>
        <w:t>26.5成交供应商拒绝签订采购合同或者经中国工程物理研究院相关部门认定成交结果无效的，采购人可以从评审小组推荐的成交候选供应商中依次确定其他供应商作为成交供应商，也可以重新组织采购。重新组织采购活动的，拒绝签订采购合同的成交供应商不得参加对该项目重新开展的采购活动。</w:t>
      </w:r>
    </w:p>
    <w:p>
      <w:pPr>
        <w:ind w:firstLine="480" w:firstLineChars="200"/>
        <w:rPr>
          <w:rFonts w:ascii="仿宋" w:hAnsi="仿宋"/>
          <w:color w:val="auto"/>
        </w:rPr>
      </w:pPr>
      <w:r>
        <w:rPr>
          <w:rFonts w:hint="eastAsia" w:ascii="仿宋" w:hAnsi="仿宋"/>
          <w:color w:val="auto"/>
        </w:rPr>
        <w:t>2</w:t>
      </w:r>
      <w:r>
        <w:rPr>
          <w:rFonts w:ascii="仿宋" w:hAnsi="仿宋"/>
          <w:color w:val="auto"/>
        </w:rPr>
        <w:t>6</w:t>
      </w:r>
      <w:r>
        <w:rPr>
          <w:rFonts w:hint="eastAsia" w:ascii="仿宋" w:hAnsi="仿宋"/>
          <w:color w:val="auto"/>
        </w:rPr>
        <w:t>.6 询比文件、成交供应商提交的响应文件、成交供应商承诺书、成交通知书等均为有法律约束力的合同组成内容。</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2</w:t>
      </w:r>
      <w:r>
        <w:rPr>
          <w:rFonts w:ascii="仿宋" w:hAnsi="仿宋"/>
          <w:color w:val="auto"/>
          <w:sz w:val="24"/>
        </w:rPr>
        <w:t>7</w:t>
      </w:r>
      <w:r>
        <w:rPr>
          <w:rFonts w:hint="eastAsia" w:ascii="仿宋" w:hAnsi="仿宋"/>
          <w:color w:val="auto"/>
          <w:sz w:val="24"/>
        </w:rPr>
        <w:t>.合同分包（实质性要求）</w:t>
      </w:r>
    </w:p>
    <w:p>
      <w:pPr>
        <w:ind w:firstLine="480" w:firstLineChars="200"/>
        <w:rPr>
          <w:rFonts w:ascii="仿宋" w:hAnsi="仿宋"/>
          <w:color w:val="auto"/>
        </w:rPr>
      </w:pPr>
      <w:r>
        <w:rPr>
          <w:rFonts w:hint="eastAsia" w:ascii="仿宋" w:hAnsi="仿宋"/>
          <w:color w:val="auto"/>
        </w:rPr>
        <w:t>2</w:t>
      </w:r>
      <w:r>
        <w:rPr>
          <w:rFonts w:ascii="仿宋" w:hAnsi="仿宋"/>
          <w:color w:val="auto"/>
        </w:rPr>
        <w:t>7</w:t>
      </w:r>
      <w:r>
        <w:rPr>
          <w:rFonts w:hint="eastAsia" w:ascii="仿宋" w:hAnsi="仿宋"/>
          <w:color w:val="auto"/>
        </w:rPr>
        <w:t>.1 经采购人同意，成交供应商可以依法采取分包方式履行合同，但必须在响应文件中事前载明。该要求应当在合同签订之前征得采购人同意，并且分包供应商履行的分包项目的品牌、规格型号及技术要求等，必须与成交的标的物一致。</w:t>
      </w:r>
    </w:p>
    <w:p>
      <w:pPr>
        <w:ind w:firstLine="480" w:firstLineChars="200"/>
        <w:rPr>
          <w:rFonts w:ascii="仿宋" w:hAnsi="仿宋"/>
          <w:color w:val="auto"/>
        </w:rPr>
      </w:pPr>
      <w:r>
        <w:rPr>
          <w:rFonts w:hint="eastAsia" w:ascii="仿宋" w:hAnsi="仿宋"/>
          <w:color w:val="auto"/>
        </w:rPr>
        <w:t>分包履行合同的部分应当为采购项目的非主体、非关键性工作，不属于成交供应商的主要合同义务。</w:t>
      </w:r>
    </w:p>
    <w:p>
      <w:pPr>
        <w:ind w:firstLine="480" w:firstLineChars="200"/>
        <w:rPr>
          <w:rFonts w:ascii="仿宋" w:hAnsi="仿宋"/>
          <w:color w:val="auto"/>
        </w:rPr>
      </w:pPr>
      <w:r>
        <w:rPr>
          <w:rFonts w:hint="eastAsia" w:ascii="仿宋" w:hAnsi="仿宋"/>
          <w:color w:val="auto"/>
        </w:rPr>
        <w:t>2</w:t>
      </w:r>
      <w:r>
        <w:rPr>
          <w:rFonts w:ascii="仿宋" w:hAnsi="仿宋"/>
          <w:color w:val="auto"/>
        </w:rPr>
        <w:t>7</w:t>
      </w:r>
      <w:r>
        <w:rPr>
          <w:rFonts w:hint="eastAsia" w:ascii="仿宋" w:hAnsi="仿宋"/>
          <w:color w:val="auto"/>
        </w:rPr>
        <w:t>.2 采购合同实行分包履行的，成交供应商就采购项目和分包项目向采购人负责，分包供应商就分包项目承担责任。</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2</w:t>
      </w:r>
      <w:r>
        <w:rPr>
          <w:rFonts w:ascii="仿宋" w:hAnsi="仿宋"/>
          <w:color w:val="auto"/>
          <w:sz w:val="24"/>
        </w:rPr>
        <w:t>8</w:t>
      </w:r>
      <w:r>
        <w:rPr>
          <w:rFonts w:hint="eastAsia" w:ascii="仿宋" w:hAnsi="仿宋"/>
          <w:color w:val="auto"/>
          <w:sz w:val="24"/>
        </w:rPr>
        <w:t>.合同转包（实质性要求）</w:t>
      </w:r>
    </w:p>
    <w:p>
      <w:pPr>
        <w:ind w:firstLine="480" w:firstLineChars="200"/>
        <w:rPr>
          <w:rFonts w:ascii="仿宋" w:hAnsi="仿宋"/>
          <w:color w:val="auto"/>
        </w:rPr>
      </w:pPr>
      <w:r>
        <w:rPr>
          <w:rFonts w:hint="eastAsia" w:ascii="仿宋" w:hAnsi="仿宋"/>
          <w:color w:val="auto"/>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pPr>
        <w:ind w:firstLine="480" w:firstLineChars="200"/>
        <w:rPr>
          <w:rFonts w:ascii="仿宋" w:hAnsi="仿宋"/>
          <w:color w:val="auto"/>
        </w:rPr>
      </w:pPr>
      <w:r>
        <w:rPr>
          <w:rFonts w:hint="eastAsia" w:ascii="仿宋" w:hAnsi="仿宋"/>
          <w:color w:val="auto"/>
        </w:rPr>
        <w:t>成交供应商转包的，视同拒绝履行采购合同义务，将依法追究法律责任。</w:t>
      </w:r>
    </w:p>
    <w:p>
      <w:pPr>
        <w:pStyle w:val="4"/>
        <w:keepNext w:val="0"/>
        <w:keepLines w:val="0"/>
        <w:spacing w:before="0" w:after="0" w:line="360" w:lineRule="auto"/>
        <w:ind w:firstLine="482" w:firstLineChars="200"/>
        <w:rPr>
          <w:rFonts w:ascii="仿宋" w:hAnsi="仿宋"/>
          <w:color w:val="auto"/>
          <w:sz w:val="24"/>
        </w:rPr>
      </w:pPr>
      <w:r>
        <w:rPr>
          <w:rFonts w:ascii="仿宋" w:hAnsi="仿宋"/>
          <w:color w:val="auto"/>
          <w:sz w:val="24"/>
        </w:rPr>
        <w:t>29</w:t>
      </w:r>
      <w:r>
        <w:rPr>
          <w:rFonts w:hint="eastAsia" w:ascii="仿宋" w:hAnsi="仿宋"/>
          <w:color w:val="auto"/>
          <w:sz w:val="24"/>
        </w:rPr>
        <w:t>.补充合同</w:t>
      </w:r>
    </w:p>
    <w:p>
      <w:pPr>
        <w:ind w:firstLine="480" w:firstLineChars="200"/>
        <w:rPr>
          <w:rFonts w:ascii="仿宋" w:hAnsi="仿宋"/>
          <w:color w:val="auto"/>
        </w:rPr>
      </w:pPr>
      <w:r>
        <w:rPr>
          <w:rFonts w:hint="eastAsia" w:ascii="仿宋" w:hAnsi="仿宋"/>
          <w:color w:val="auto"/>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3</w:t>
      </w:r>
      <w:r>
        <w:rPr>
          <w:rFonts w:ascii="仿宋" w:hAnsi="仿宋"/>
          <w:color w:val="auto"/>
          <w:sz w:val="24"/>
        </w:rPr>
        <w:t>0</w:t>
      </w:r>
      <w:r>
        <w:rPr>
          <w:rFonts w:hint="eastAsia" w:ascii="仿宋" w:hAnsi="仿宋"/>
          <w:color w:val="auto"/>
          <w:sz w:val="24"/>
        </w:rPr>
        <w:t>.履约保证金（实质性要求）</w:t>
      </w:r>
    </w:p>
    <w:p>
      <w:pPr>
        <w:ind w:firstLine="480" w:firstLineChars="200"/>
        <w:rPr>
          <w:rFonts w:ascii="仿宋" w:hAnsi="仿宋"/>
          <w:color w:val="auto"/>
        </w:rPr>
      </w:pPr>
      <w:r>
        <w:rPr>
          <w:rFonts w:hint="eastAsia" w:ascii="仿宋" w:hAnsi="仿宋"/>
          <w:color w:val="auto"/>
        </w:rPr>
        <w:t>3</w:t>
      </w:r>
      <w:r>
        <w:rPr>
          <w:rFonts w:ascii="仿宋" w:hAnsi="仿宋"/>
          <w:color w:val="auto"/>
        </w:rPr>
        <w:t>0</w:t>
      </w:r>
      <w:r>
        <w:rPr>
          <w:rFonts w:hint="eastAsia" w:ascii="仿宋" w:hAnsi="仿宋"/>
          <w:color w:val="auto"/>
        </w:rPr>
        <w:t>.1 成交供应商应在合同签订之前交纳采购文件规定数额的履约保证金。</w:t>
      </w:r>
    </w:p>
    <w:p>
      <w:pPr>
        <w:ind w:firstLine="480" w:firstLineChars="200"/>
        <w:rPr>
          <w:rFonts w:ascii="仿宋" w:hAnsi="仿宋"/>
          <w:color w:val="auto"/>
        </w:rPr>
      </w:pPr>
      <w:r>
        <w:rPr>
          <w:rFonts w:hint="eastAsia" w:ascii="仿宋" w:hAnsi="仿宋"/>
          <w:color w:val="auto"/>
        </w:rPr>
        <w:t>3</w:t>
      </w:r>
      <w:r>
        <w:rPr>
          <w:rFonts w:ascii="仿宋" w:hAnsi="仿宋"/>
          <w:color w:val="auto"/>
        </w:rPr>
        <w:t>0</w:t>
      </w:r>
      <w:r>
        <w:rPr>
          <w:rFonts w:hint="eastAsia" w:ascii="仿宋" w:hAnsi="仿宋"/>
          <w:color w:val="auto"/>
        </w:rPr>
        <w:t>.2 如果成交供应商在规定的合同签订时间内，没有按照采购文件的规定交纳履约保证金，且又无正当理由的，将视为放弃成交。</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3</w:t>
      </w:r>
      <w:r>
        <w:rPr>
          <w:rFonts w:ascii="仿宋" w:hAnsi="仿宋"/>
          <w:color w:val="auto"/>
          <w:sz w:val="24"/>
        </w:rPr>
        <w:t>1</w:t>
      </w:r>
      <w:r>
        <w:rPr>
          <w:rFonts w:hint="eastAsia" w:ascii="仿宋" w:hAnsi="仿宋"/>
          <w:color w:val="auto"/>
          <w:sz w:val="24"/>
        </w:rPr>
        <w:t>.合同公告</w:t>
      </w:r>
    </w:p>
    <w:p>
      <w:pPr>
        <w:ind w:firstLine="480" w:firstLineChars="200"/>
        <w:rPr>
          <w:rFonts w:ascii="仿宋" w:hAnsi="仿宋"/>
          <w:color w:val="auto"/>
        </w:rPr>
      </w:pPr>
      <w:r>
        <w:rPr>
          <w:rFonts w:hint="eastAsia" w:ascii="仿宋" w:hAnsi="仿宋"/>
          <w:color w:val="auto"/>
        </w:rPr>
        <w:t>采购人或采购代理机构按有关规定执行。</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3</w:t>
      </w:r>
      <w:r>
        <w:rPr>
          <w:rFonts w:ascii="仿宋" w:hAnsi="仿宋"/>
          <w:color w:val="auto"/>
          <w:sz w:val="24"/>
        </w:rPr>
        <w:t>2</w:t>
      </w:r>
      <w:r>
        <w:rPr>
          <w:rFonts w:hint="eastAsia" w:ascii="仿宋" w:hAnsi="仿宋"/>
          <w:color w:val="auto"/>
          <w:sz w:val="24"/>
        </w:rPr>
        <w:t>.合同备案</w:t>
      </w:r>
    </w:p>
    <w:p>
      <w:pPr>
        <w:ind w:firstLine="480" w:firstLineChars="200"/>
        <w:rPr>
          <w:rFonts w:ascii="仿宋" w:hAnsi="仿宋"/>
          <w:color w:val="auto"/>
        </w:rPr>
      </w:pPr>
      <w:r>
        <w:rPr>
          <w:rFonts w:hint="eastAsia" w:ascii="仿宋" w:hAnsi="仿宋"/>
          <w:color w:val="auto"/>
        </w:rPr>
        <w:t>采购人或采购代理机构按有关规定执行。</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3</w:t>
      </w:r>
      <w:r>
        <w:rPr>
          <w:rFonts w:ascii="仿宋" w:hAnsi="仿宋"/>
          <w:color w:val="auto"/>
          <w:sz w:val="24"/>
        </w:rPr>
        <w:t>3</w:t>
      </w:r>
      <w:r>
        <w:rPr>
          <w:rFonts w:hint="eastAsia" w:ascii="仿宋" w:hAnsi="仿宋"/>
          <w:color w:val="auto"/>
          <w:sz w:val="24"/>
        </w:rPr>
        <w:t>.履行合同</w:t>
      </w:r>
    </w:p>
    <w:p>
      <w:pPr>
        <w:ind w:firstLine="480" w:firstLineChars="200"/>
        <w:rPr>
          <w:rFonts w:ascii="仿宋" w:hAnsi="仿宋"/>
          <w:color w:val="auto"/>
        </w:rPr>
      </w:pPr>
      <w:r>
        <w:rPr>
          <w:rFonts w:hint="eastAsia" w:ascii="仿宋" w:hAnsi="仿宋"/>
          <w:color w:val="auto"/>
        </w:rPr>
        <w:t>3</w:t>
      </w:r>
      <w:r>
        <w:rPr>
          <w:rFonts w:ascii="仿宋" w:hAnsi="仿宋"/>
          <w:color w:val="auto"/>
        </w:rPr>
        <w:t>3</w:t>
      </w:r>
      <w:r>
        <w:rPr>
          <w:rFonts w:hint="eastAsia" w:ascii="仿宋" w:hAnsi="仿宋"/>
          <w:color w:val="auto"/>
        </w:rPr>
        <w:t>.1 成交供应商与采购人签订合同后，合同双方应严格执行合同条款，履行合同规定的义务，保证合同的顺利完成。</w:t>
      </w:r>
    </w:p>
    <w:p>
      <w:pPr>
        <w:ind w:firstLine="480" w:firstLineChars="200"/>
        <w:rPr>
          <w:rFonts w:ascii="仿宋" w:hAnsi="仿宋"/>
          <w:color w:val="auto"/>
        </w:rPr>
      </w:pPr>
      <w:r>
        <w:rPr>
          <w:rFonts w:hint="eastAsia" w:ascii="仿宋" w:hAnsi="仿宋"/>
          <w:color w:val="auto"/>
        </w:rPr>
        <w:t>3</w:t>
      </w:r>
      <w:r>
        <w:rPr>
          <w:rFonts w:ascii="仿宋" w:hAnsi="仿宋"/>
          <w:color w:val="auto"/>
        </w:rPr>
        <w:t>3</w:t>
      </w:r>
      <w:r>
        <w:rPr>
          <w:rFonts w:hint="eastAsia" w:ascii="仿宋" w:hAnsi="仿宋"/>
          <w:color w:val="auto"/>
        </w:rPr>
        <w:t>.2 在合同履行过程中，如发生合同纠纷，合同双方应按照《中华人民共和国民法典》及其他的有关规定进行处理。</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3</w:t>
      </w:r>
      <w:r>
        <w:rPr>
          <w:rFonts w:ascii="仿宋" w:hAnsi="仿宋"/>
          <w:color w:val="auto"/>
          <w:sz w:val="24"/>
        </w:rPr>
        <w:t>4</w:t>
      </w:r>
      <w:r>
        <w:rPr>
          <w:rFonts w:hint="eastAsia" w:ascii="仿宋" w:hAnsi="仿宋"/>
          <w:color w:val="auto"/>
          <w:sz w:val="24"/>
        </w:rPr>
        <w:t>.验收</w:t>
      </w:r>
    </w:p>
    <w:p>
      <w:pPr>
        <w:ind w:firstLine="480" w:firstLineChars="200"/>
        <w:rPr>
          <w:rFonts w:ascii="仿宋" w:hAnsi="仿宋"/>
          <w:color w:val="auto"/>
        </w:rPr>
      </w:pPr>
      <w:r>
        <w:rPr>
          <w:rFonts w:hint="eastAsia" w:ascii="仿宋" w:hAnsi="仿宋"/>
          <w:color w:val="auto"/>
        </w:rPr>
        <w:t>3</w:t>
      </w:r>
      <w:r>
        <w:rPr>
          <w:rFonts w:ascii="仿宋" w:hAnsi="仿宋"/>
          <w:color w:val="auto"/>
        </w:rPr>
        <w:t>4</w:t>
      </w:r>
      <w:r>
        <w:rPr>
          <w:rFonts w:hint="eastAsia" w:ascii="仿宋" w:hAnsi="仿宋"/>
          <w:color w:val="auto"/>
        </w:rPr>
        <w:t>.1本项目采购人将严格按照相关法律法规以及采购人的要求进行验收。</w:t>
      </w:r>
    </w:p>
    <w:p>
      <w:pPr>
        <w:ind w:firstLine="480" w:firstLineChars="200"/>
        <w:rPr>
          <w:rFonts w:ascii="仿宋" w:hAnsi="仿宋"/>
          <w:color w:val="auto"/>
        </w:rPr>
      </w:pPr>
      <w:r>
        <w:rPr>
          <w:rFonts w:hint="eastAsia" w:ascii="仿宋" w:hAnsi="仿宋"/>
          <w:color w:val="auto"/>
        </w:rPr>
        <w:t>3</w:t>
      </w:r>
      <w:r>
        <w:rPr>
          <w:rFonts w:ascii="仿宋" w:hAnsi="仿宋"/>
          <w:color w:val="auto"/>
        </w:rPr>
        <w:t>4</w:t>
      </w:r>
      <w:r>
        <w:rPr>
          <w:rFonts w:hint="eastAsia" w:ascii="仿宋" w:hAnsi="仿宋"/>
          <w:color w:val="auto"/>
        </w:rPr>
        <w:t>.2验收结果合格的，成交人凭验收报告到采购人处办理履约保证金的退付手续；验收结果不合格的，履约保证金将不予退还，也将不予继续支付采购资金。同时保留追究成交人相关责任的权力（包括要求成交人退回采购人已支付的资金）。</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3</w:t>
      </w:r>
      <w:r>
        <w:rPr>
          <w:rFonts w:ascii="仿宋" w:hAnsi="仿宋"/>
          <w:color w:val="auto"/>
          <w:sz w:val="24"/>
        </w:rPr>
        <w:t>5</w:t>
      </w:r>
      <w:r>
        <w:rPr>
          <w:rFonts w:hint="eastAsia" w:ascii="仿宋" w:hAnsi="仿宋"/>
          <w:color w:val="auto"/>
          <w:sz w:val="24"/>
        </w:rPr>
        <w:t>.资金支付</w:t>
      </w:r>
    </w:p>
    <w:p>
      <w:pPr>
        <w:ind w:firstLine="480" w:firstLineChars="200"/>
        <w:rPr>
          <w:rFonts w:ascii="仿宋" w:hAnsi="仿宋"/>
          <w:color w:val="auto"/>
        </w:rPr>
      </w:pPr>
      <w:r>
        <w:rPr>
          <w:rFonts w:hint="eastAsia" w:ascii="仿宋" w:hAnsi="仿宋"/>
          <w:color w:val="auto"/>
        </w:rPr>
        <w:t>采购人将按照采购合同规定，及时向成交供应商支付采购资金。</w:t>
      </w:r>
    </w:p>
    <w:p>
      <w:pPr>
        <w:pStyle w:val="3"/>
        <w:keepNext w:val="0"/>
        <w:keepLines w:val="0"/>
        <w:spacing w:before="0" w:after="0" w:line="360" w:lineRule="auto"/>
        <w:jc w:val="center"/>
        <w:rPr>
          <w:rFonts w:ascii="仿宋" w:hAnsi="仿宋" w:eastAsia="仿宋"/>
          <w:color w:val="auto"/>
        </w:rPr>
      </w:pPr>
      <w:r>
        <w:rPr>
          <w:rFonts w:hint="eastAsia" w:ascii="仿宋" w:hAnsi="仿宋" w:eastAsia="仿宋"/>
          <w:color w:val="auto"/>
        </w:rPr>
        <w:t>八、询比纪律要求</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3</w:t>
      </w:r>
      <w:r>
        <w:rPr>
          <w:rFonts w:ascii="仿宋" w:hAnsi="仿宋"/>
          <w:color w:val="auto"/>
          <w:sz w:val="24"/>
        </w:rPr>
        <w:t>6</w:t>
      </w:r>
      <w:r>
        <w:rPr>
          <w:rFonts w:hint="eastAsia" w:ascii="仿宋" w:hAnsi="仿宋"/>
          <w:color w:val="auto"/>
          <w:sz w:val="24"/>
        </w:rPr>
        <w:t>.供应商不得具有的情形（实质性要求）</w:t>
      </w:r>
    </w:p>
    <w:p>
      <w:pPr>
        <w:tabs>
          <w:tab w:val="left" w:pos="851"/>
        </w:tabs>
        <w:ind w:firstLine="480" w:firstLineChars="200"/>
        <w:rPr>
          <w:rFonts w:ascii="仿宋" w:hAnsi="仿宋"/>
          <w:color w:val="auto"/>
        </w:rPr>
      </w:pPr>
      <w:r>
        <w:rPr>
          <w:rFonts w:hint="eastAsia" w:ascii="仿宋" w:hAnsi="仿宋"/>
          <w:color w:val="auto"/>
        </w:rPr>
        <w:t>供应商参加本项目询比不得有下列情形：</w:t>
      </w:r>
    </w:p>
    <w:p>
      <w:pPr>
        <w:tabs>
          <w:tab w:val="left" w:pos="851"/>
        </w:tabs>
        <w:ind w:firstLine="480" w:firstLineChars="200"/>
        <w:rPr>
          <w:rFonts w:ascii="仿宋" w:hAnsi="仿宋"/>
          <w:color w:val="auto"/>
        </w:rPr>
      </w:pPr>
      <w:r>
        <w:rPr>
          <w:rFonts w:hint="eastAsia" w:ascii="仿宋" w:hAnsi="仿宋"/>
          <w:color w:val="auto"/>
        </w:rPr>
        <w:t>（一）提供虚假材料谋取中标、成交的；</w:t>
      </w:r>
    </w:p>
    <w:p>
      <w:pPr>
        <w:tabs>
          <w:tab w:val="left" w:pos="851"/>
        </w:tabs>
        <w:ind w:firstLine="480" w:firstLineChars="200"/>
        <w:rPr>
          <w:rFonts w:ascii="仿宋" w:hAnsi="仿宋"/>
          <w:color w:val="auto"/>
        </w:rPr>
      </w:pPr>
      <w:r>
        <w:rPr>
          <w:rFonts w:hint="eastAsia" w:ascii="仿宋" w:hAnsi="仿宋"/>
          <w:color w:val="auto"/>
        </w:rPr>
        <w:t>（二）采取不正当手段诋毁、排挤其他供应商的；</w:t>
      </w:r>
    </w:p>
    <w:p>
      <w:pPr>
        <w:tabs>
          <w:tab w:val="left" w:pos="851"/>
        </w:tabs>
        <w:ind w:firstLine="480" w:firstLineChars="200"/>
        <w:rPr>
          <w:rFonts w:ascii="仿宋" w:hAnsi="仿宋"/>
          <w:color w:val="auto"/>
        </w:rPr>
      </w:pPr>
      <w:r>
        <w:rPr>
          <w:rFonts w:hint="eastAsia" w:ascii="仿宋" w:hAnsi="仿宋"/>
          <w:color w:val="auto"/>
        </w:rPr>
        <w:t>（三）与采购人、其他供应商或代理机构恶意串通的；</w:t>
      </w:r>
    </w:p>
    <w:p>
      <w:pPr>
        <w:tabs>
          <w:tab w:val="left" w:pos="851"/>
        </w:tabs>
        <w:ind w:firstLine="480" w:firstLineChars="200"/>
        <w:rPr>
          <w:rFonts w:ascii="仿宋" w:hAnsi="仿宋"/>
          <w:color w:val="auto"/>
        </w:rPr>
      </w:pPr>
      <w:r>
        <w:rPr>
          <w:rFonts w:hint="eastAsia" w:ascii="仿宋" w:hAnsi="仿宋"/>
          <w:color w:val="auto"/>
        </w:rPr>
        <w:t>（四）向采购人及相关人员、采购代理机构、评标委员会或评审小组成员行贿或提供其他不正当利益的；</w:t>
      </w:r>
    </w:p>
    <w:p>
      <w:pPr>
        <w:tabs>
          <w:tab w:val="left" w:pos="851"/>
        </w:tabs>
        <w:ind w:firstLine="480" w:firstLineChars="200"/>
        <w:rPr>
          <w:rFonts w:ascii="仿宋" w:hAnsi="仿宋"/>
          <w:color w:val="auto"/>
        </w:rPr>
      </w:pPr>
      <w:r>
        <w:rPr>
          <w:rFonts w:hint="eastAsia" w:ascii="仿宋" w:hAnsi="仿宋"/>
          <w:color w:val="auto"/>
        </w:rPr>
        <w:t>（五）评审阶段资格发生变化，未按规定通知采购人和采购代理机构的；</w:t>
      </w:r>
    </w:p>
    <w:p>
      <w:pPr>
        <w:tabs>
          <w:tab w:val="left" w:pos="851"/>
        </w:tabs>
        <w:ind w:firstLine="480" w:firstLineChars="200"/>
        <w:rPr>
          <w:rFonts w:ascii="仿宋" w:hAnsi="仿宋"/>
          <w:color w:val="auto"/>
        </w:rPr>
      </w:pPr>
      <w:r>
        <w:rPr>
          <w:rFonts w:hint="eastAsia" w:ascii="仿宋" w:hAnsi="仿宋"/>
          <w:color w:val="auto"/>
        </w:rPr>
        <w:t>（六）中标或成交后无正当理由拒不与采购人签订采购合同，或未按照采购文件确定的事项签订采购合同的；</w:t>
      </w:r>
    </w:p>
    <w:p>
      <w:pPr>
        <w:tabs>
          <w:tab w:val="left" w:pos="851"/>
        </w:tabs>
        <w:ind w:firstLine="480" w:firstLineChars="200"/>
        <w:rPr>
          <w:rFonts w:ascii="仿宋" w:hAnsi="仿宋"/>
          <w:color w:val="auto"/>
        </w:rPr>
      </w:pPr>
      <w:r>
        <w:rPr>
          <w:rFonts w:hint="eastAsia" w:ascii="仿宋" w:hAnsi="仿宋"/>
          <w:color w:val="auto"/>
        </w:rPr>
        <w:t>（七）将采购合同转包的；</w:t>
      </w:r>
    </w:p>
    <w:p>
      <w:pPr>
        <w:tabs>
          <w:tab w:val="left" w:pos="851"/>
        </w:tabs>
        <w:ind w:firstLine="480" w:firstLineChars="200"/>
        <w:rPr>
          <w:rFonts w:ascii="仿宋" w:hAnsi="仿宋"/>
          <w:color w:val="auto"/>
        </w:rPr>
      </w:pPr>
      <w:r>
        <w:rPr>
          <w:rFonts w:hint="eastAsia" w:ascii="仿宋" w:hAnsi="仿宋"/>
          <w:color w:val="auto"/>
        </w:rPr>
        <w:t>（八）提供假冒伪劣产品的；</w:t>
      </w:r>
    </w:p>
    <w:p>
      <w:pPr>
        <w:tabs>
          <w:tab w:val="left" w:pos="851"/>
        </w:tabs>
        <w:ind w:firstLine="480" w:firstLineChars="200"/>
        <w:rPr>
          <w:rFonts w:ascii="仿宋" w:hAnsi="仿宋"/>
          <w:color w:val="auto"/>
        </w:rPr>
      </w:pPr>
      <w:r>
        <w:rPr>
          <w:rFonts w:hint="eastAsia" w:ascii="仿宋" w:hAnsi="仿宋"/>
          <w:color w:val="auto"/>
        </w:rPr>
        <w:t>（九）擅自变更、中止或终止采购合同的；</w:t>
      </w:r>
    </w:p>
    <w:p>
      <w:pPr>
        <w:tabs>
          <w:tab w:val="left" w:pos="851"/>
        </w:tabs>
        <w:ind w:firstLine="480" w:firstLineChars="200"/>
        <w:rPr>
          <w:rFonts w:ascii="仿宋" w:hAnsi="仿宋"/>
          <w:color w:val="auto"/>
        </w:rPr>
      </w:pPr>
      <w:r>
        <w:rPr>
          <w:rFonts w:hint="eastAsia" w:ascii="仿宋" w:hAnsi="仿宋"/>
          <w:color w:val="auto"/>
        </w:rPr>
        <w:t>（十）捏造事实、提供虚假材料或以非法手段取得证明材料进行投诉的；</w:t>
      </w:r>
    </w:p>
    <w:p>
      <w:pPr>
        <w:tabs>
          <w:tab w:val="left" w:pos="851"/>
        </w:tabs>
        <w:ind w:firstLine="480" w:firstLineChars="200"/>
        <w:rPr>
          <w:rFonts w:ascii="仿宋" w:hAnsi="仿宋"/>
          <w:color w:val="auto"/>
        </w:rPr>
      </w:pPr>
      <w:r>
        <w:rPr>
          <w:rFonts w:hint="eastAsia" w:ascii="仿宋" w:hAnsi="仿宋"/>
          <w:color w:val="auto"/>
        </w:rPr>
        <w:t>（十一）拒绝有关部门监督检查或提供虚假情况的；</w:t>
      </w:r>
    </w:p>
    <w:p>
      <w:pPr>
        <w:tabs>
          <w:tab w:val="left" w:pos="851"/>
        </w:tabs>
        <w:ind w:firstLine="480" w:firstLineChars="200"/>
        <w:rPr>
          <w:rFonts w:ascii="仿宋" w:hAnsi="仿宋"/>
          <w:color w:val="auto"/>
        </w:rPr>
      </w:pPr>
      <w:r>
        <w:rPr>
          <w:rFonts w:hint="eastAsia" w:ascii="仿宋" w:hAnsi="仿宋"/>
          <w:color w:val="auto"/>
        </w:rPr>
        <w:t>（十二）供应商的股东或实际控制人、重要任职人员中有中国工程物理研究院职工及其家庭成员、主要社会关系人，未按规定说明的；</w:t>
      </w:r>
    </w:p>
    <w:p>
      <w:pPr>
        <w:tabs>
          <w:tab w:val="left" w:pos="851"/>
        </w:tabs>
        <w:ind w:firstLine="480" w:firstLineChars="200"/>
        <w:rPr>
          <w:rFonts w:ascii="仿宋" w:hAnsi="仿宋"/>
          <w:color w:val="auto"/>
        </w:rPr>
      </w:pPr>
      <w:r>
        <w:rPr>
          <w:rFonts w:hint="eastAsia" w:ascii="仿宋" w:hAnsi="仿宋"/>
          <w:color w:val="auto"/>
        </w:rPr>
        <w:t>（十三）其他违反国家和中国工程物理研究院规定的行为。</w:t>
      </w:r>
    </w:p>
    <w:p>
      <w:pPr>
        <w:tabs>
          <w:tab w:val="left" w:pos="851"/>
        </w:tabs>
        <w:ind w:firstLine="480" w:firstLineChars="200"/>
        <w:rPr>
          <w:rFonts w:ascii="仿宋" w:hAnsi="仿宋"/>
          <w:color w:val="auto"/>
        </w:rPr>
      </w:pPr>
      <w:r>
        <w:rPr>
          <w:rFonts w:hint="eastAsia" w:ascii="仿宋" w:hAnsi="仿宋"/>
          <w:color w:val="auto"/>
        </w:rPr>
        <w:t>供应商有上述情形的，按照规定追究法律责任，具备（一）—（五）条情形之一的，同时将取消被确认为中标/成交供应商的资格或者认定中标/成交无效。</w:t>
      </w:r>
    </w:p>
    <w:p>
      <w:pPr>
        <w:pStyle w:val="3"/>
        <w:keepNext w:val="0"/>
        <w:keepLines w:val="0"/>
        <w:spacing w:before="0" w:after="0" w:line="360" w:lineRule="auto"/>
        <w:jc w:val="center"/>
        <w:rPr>
          <w:rFonts w:ascii="仿宋" w:hAnsi="仿宋" w:eastAsia="仿宋"/>
          <w:color w:val="auto"/>
        </w:rPr>
      </w:pPr>
      <w:r>
        <w:rPr>
          <w:rFonts w:hint="eastAsia" w:ascii="仿宋" w:hAnsi="仿宋" w:eastAsia="仿宋"/>
          <w:color w:val="auto"/>
        </w:rPr>
        <w:t>九、询问、质疑和投诉</w:t>
      </w:r>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3</w:t>
      </w:r>
      <w:r>
        <w:rPr>
          <w:rFonts w:ascii="仿宋" w:hAnsi="仿宋"/>
          <w:color w:val="auto"/>
          <w:sz w:val="24"/>
        </w:rPr>
        <w:t>7</w:t>
      </w:r>
      <w:r>
        <w:rPr>
          <w:rFonts w:hint="eastAsia" w:ascii="仿宋" w:hAnsi="仿宋"/>
          <w:color w:val="auto"/>
          <w:sz w:val="24"/>
        </w:rPr>
        <w:t>. 询问、质疑、投诉的接收和处理按询比须知中的规定进行处理。</w:t>
      </w:r>
    </w:p>
    <w:p>
      <w:pPr>
        <w:pStyle w:val="3"/>
        <w:keepNext w:val="0"/>
        <w:keepLines w:val="0"/>
        <w:spacing w:before="0" w:after="0" w:line="360" w:lineRule="auto"/>
        <w:jc w:val="center"/>
        <w:rPr>
          <w:rFonts w:ascii="仿宋" w:hAnsi="仿宋" w:eastAsia="仿宋"/>
          <w:color w:val="auto"/>
        </w:rPr>
      </w:pPr>
      <w:r>
        <w:rPr>
          <w:rFonts w:hint="eastAsia" w:ascii="仿宋" w:hAnsi="仿宋" w:eastAsia="仿宋"/>
          <w:color w:val="auto"/>
        </w:rPr>
        <w:t>十、其他</w:t>
      </w:r>
    </w:p>
    <w:p>
      <w:pPr>
        <w:tabs>
          <w:tab w:val="left" w:pos="851"/>
        </w:tabs>
        <w:ind w:firstLine="495"/>
        <w:jc w:val="left"/>
        <w:rPr>
          <w:rFonts w:ascii="仿宋" w:hAnsi="仿宋"/>
          <w:color w:val="auto"/>
        </w:rPr>
      </w:pPr>
      <w:r>
        <w:rPr>
          <w:rFonts w:hint="eastAsia" w:ascii="仿宋" w:hAnsi="仿宋"/>
          <w:b/>
          <w:bCs/>
          <w:color w:val="auto"/>
          <w:szCs w:val="32"/>
        </w:rPr>
        <w:t>3</w:t>
      </w:r>
      <w:r>
        <w:rPr>
          <w:rFonts w:ascii="仿宋" w:hAnsi="仿宋"/>
          <w:b/>
          <w:bCs/>
          <w:color w:val="auto"/>
          <w:szCs w:val="32"/>
        </w:rPr>
        <w:t>8</w:t>
      </w:r>
      <w:r>
        <w:rPr>
          <w:rFonts w:hint="eastAsia" w:ascii="仿宋" w:hAnsi="仿宋"/>
          <w:b/>
          <w:bCs/>
          <w:color w:val="auto"/>
          <w:szCs w:val="32"/>
        </w:rPr>
        <w:t>.</w:t>
      </w:r>
      <w:r>
        <w:rPr>
          <w:rFonts w:hint="eastAsia" w:ascii="仿宋" w:hAnsi="仿宋"/>
          <w:color w:val="auto"/>
        </w:rPr>
        <w:t>本询比文件中所引相关法律制度和采购人相关规定，在采购中有变化的，按照变化后的相关法律制度和采购人相关规定执行。本章规定的内容条款，在本项目递交响应文件截止时间届满后，因相关法律制度和采购人相关规定的变化导致不符合相关法律制度和采购人相关规定的，直接按照变化后的相关法律制度和采购人相关规定执行，本询比文件不再做调整。</w:t>
      </w:r>
    </w:p>
    <w:p>
      <w:pPr>
        <w:tabs>
          <w:tab w:val="left" w:pos="851"/>
        </w:tabs>
        <w:ind w:firstLine="495"/>
        <w:jc w:val="left"/>
        <w:rPr>
          <w:rFonts w:ascii="仿宋" w:hAnsi="仿宋"/>
          <w:color w:val="auto"/>
        </w:rPr>
      </w:pPr>
      <w:r>
        <w:rPr>
          <w:rFonts w:ascii="仿宋" w:hAnsi="仿宋"/>
          <w:b/>
          <w:bCs/>
          <w:color w:val="auto"/>
          <w:szCs w:val="32"/>
        </w:rPr>
        <w:t>39.</w:t>
      </w:r>
      <w:r>
        <w:rPr>
          <w:rFonts w:hint="eastAsia" w:ascii="仿宋" w:hAnsi="仿宋"/>
          <w:b/>
          <w:color w:val="auto"/>
        </w:rPr>
        <w:t>（实质性要求）</w:t>
      </w:r>
      <w:r>
        <w:rPr>
          <w:rFonts w:hint="eastAsia" w:ascii="仿宋" w:hAnsi="仿宋"/>
          <w:color w:val="auto"/>
        </w:rPr>
        <w:t>国家或行业主管部门对供应商和采购产品的技术标准、质量标准和资格资质条件等有强制性规定的，必须符合其要求。</w:t>
      </w:r>
    </w:p>
    <w:p>
      <w:pPr>
        <w:widowControl/>
        <w:spacing w:line="240" w:lineRule="auto"/>
        <w:jc w:val="left"/>
        <w:rPr>
          <w:rFonts w:ascii="仿宋" w:hAnsi="仿宋"/>
          <w:color w:val="auto"/>
        </w:rPr>
      </w:pPr>
      <w:r>
        <w:rPr>
          <w:rFonts w:ascii="仿宋" w:hAnsi="仿宋"/>
          <w:color w:val="auto"/>
        </w:rPr>
        <w:br w:type="page"/>
      </w:r>
    </w:p>
    <w:p>
      <w:pPr>
        <w:pStyle w:val="24"/>
        <w:rPr>
          <w:rFonts w:ascii="仿宋" w:hAnsi="仿宋"/>
          <w:color w:val="auto"/>
        </w:rPr>
      </w:pPr>
      <w:bookmarkStart w:id="78" w:name="_Toc37838084"/>
      <w:r>
        <w:rPr>
          <w:rFonts w:hint="eastAsia" w:ascii="仿宋" w:hAnsi="仿宋"/>
          <w:color w:val="auto"/>
        </w:rPr>
        <w:t>第三章  供应商和报价产品的资格、资质性及其他类似效力要求和应当提供的相关证明材料</w:t>
      </w:r>
      <w:bookmarkEnd w:id="78"/>
    </w:p>
    <w:p>
      <w:pPr>
        <w:pStyle w:val="4"/>
        <w:keepNext w:val="0"/>
        <w:keepLines w:val="0"/>
        <w:spacing w:before="0" w:after="0" w:line="360" w:lineRule="auto"/>
        <w:ind w:firstLine="482" w:firstLineChars="200"/>
        <w:rPr>
          <w:rFonts w:ascii="仿宋" w:hAnsi="仿宋"/>
          <w:color w:val="auto"/>
          <w:sz w:val="24"/>
        </w:rPr>
      </w:pPr>
      <w:r>
        <w:rPr>
          <w:rFonts w:hint="eastAsia" w:ascii="仿宋" w:hAnsi="仿宋"/>
          <w:color w:val="auto"/>
          <w:sz w:val="24"/>
        </w:rPr>
        <w:t>一、供应商的资格、资质性要求和应当提供的相关证明材料：</w:t>
      </w:r>
    </w:p>
    <w:p>
      <w:pPr>
        <w:pStyle w:val="44"/>
        <w:ind w:firstLine="480"/>
        <w:rPr>
          <w:rFonts w:ascii="仿宋" w:hAnsi="仿宋"/>
          <w:color w:val="auto"/>
        </w:rPr>
      </w:pPr>
      <w:r>
        <w:rPr>
          <w:rFonts w:hint="eastAsia" w:ascii="仿宋" w:hAnsi="仿宋"/>
          <w:color w:val="auto"/>
        </w:rPr>
        <w:t>（1）具有独立承担民事责任的能力</w:t>
      </w:r>
      <w:r>
        <w:rPr>
          <w:rFonts w:hint="eastAsia" w:ascii="仿宋" w:hAnsi="仿宋"/>
          <w:color w:val="auto"/>
          <w:szCs w:val="21"/>
        </w:rPr>
        <w:t>【法人提供其营业执照复印件或法人证书复印件；其他组织提供相应的登记证书；个体工商户提供营业执照复印件；自然人提供有效期内的身份证复印件】</w:t>
      </w:r>
      <w:r>
        <w:rPr>
          <w:rFonts w:hint="eastAsia" w:ascii="仿宋" w:hAnsi="仿宋"/>
          <w:color w:val="auto"/>
        </w:rPr>
        <w:t>；</w:t>
      </w:r>
    </w:p>
    <w:p>
      <w:pPr>
        <w:pStyle w:val="44"/>
        <w:ind w:firstLine="480"/>
        <w:rPr>
          <w:rFonts w:ascii="仿宋" w:hAnsi="仿宋"/>
          <w:color w:val="auto"/>
        </w:rPr>
      </w:pPr>
      <w:r>
        <w:rPr>
          <w:rFonts w:hint="eastAsia" w:ascii="仿宋" w:hAnsi="仿宋"/>
          <w:color w:val="auto"/>
        </w:rPr>
        <w:t>（2）具有良好的商业信誉和健全的财务会计制度【提供承诺函】；</w:t>
      </w:r>
    </w:p>
    <w:p>
      <w:pPr>
        <w:pStyle w:val="44"/>
        <w:ind w:firstLine="480"/>
        <w:rPr>
          <w:rFonts w:ascii="仿宋" w:hAnsi="仿宋"/>
          <w:b/>
          <w:color w:val="auto"/>
        </w:rPr>
      </w:pPr>
      <w:r>
        <w:rPr>
          <w:rFonts w:hint="eastAsia" w:ascii="仿宋" w:hAnsi="仿宋"/>
          <w:color w:val="auto"/>
        </w:rPr>
        <w:t>（3）具有依法缴纳税收和社会保障资金的良好记录【提供承诺函】；</w:t>
      </w:r>
    </w:p>
    <w:p>
      <w:pPr>
        <w:pStyle w:val="44"/>
        <w:ind w:firstLine="480"/>
        <w:rPr>
          <w:rFonts w:ascii="仿宋" w:hAnsi="仿宋"/>
          <w:color w:val="auto"/>
        </w:rPr>
      </w:pPr>
      <w:r>
        <w:rPr>
          <w:rFonts w:hint="eastAsia" w:ascii="仿宋" w:hAnsi="仿宋"/>
          <w:color w:val="auto"/>
        </w:rPr>
        <w:t>（4）具有履行合同所必需的设备和专业技术能力【提供承诺函】；</w:t>
      </w:r>
    </w:p>
    <w:p>
      <w:pPr>
        <w:pStyle w:val="44"/>
        <w:ind w:firstLine="480"/>
        <w:rPr>
          <w:rFonts w:ascii="仿宋" w:hAnsi="仿宋"/>
          <w:color w:val="auto"/>
        </w:rPr>
      </w:pPr>
      <w:r>
        <w:rPr>
          <w:rFonts w:hint="eastAsia" w:ascii="仿宋" w:hAnsi="仿宋"/>
          <w:color w:val="auto"/>
        </w:rPr>
        <w:t>（5）参加采购活动前3年内在经营活动中没有重大违法记录【提供承诺函】；</w:t>
      </w:r>
    </w:p>
    <w:p>
      <w:pPr>
        <w:pStyle w:val="44"/>
        <w:ind w:firstLine="480"/>
        <w:rPr>
          <w:rFonts w:ascii="仿宋" w:hAnsi="仿宋"/>
          <w:color w:val="auto"/>
        </w:rPr>
      </w:pPr>
      <w:r>
        <w:rPr>
          <w:rFonts w:hint="eastAsia" w:ascii="仿宋" w:hAnsi="仿宋"/>
          <w:color w:val="auto"/>
        </w:rPr>
        <w:t>（6）法律、行政法规规定的其他条件【提供承诺函】；</w:t>
      </w:r>
    </w:p>
    <w:p>
      <w:pPr>
        <w:tabs>
          <w:tab w:val="left" w:pos="7665"/>
        </w:tabs>
        <w:ind w:firstLine="480" w:firstLineChars="200"/>
        <w:rPr>
          <w:rFonts w:ascii="仿宋" w:hAnsi="仿宋"/>
          <w:color w:val="auto"/>
        </w:rPr>
      </w:pPr>
      <w:r>
        <w:rPr>
          <w:rFonts w:hint="eastAsia" w:ascii="仿宋" w:hAnsi="仿宋"/>
          <w:color w:val="auto"/>
        </w:rPr>
        <w:t>（7）供应商单位及其现任法定代表人、主要负责人不得具有行贿犯罪记录【提供承诺函】；</w:t>
      </w:r>
    </w:p>
    <w:p>
      <w:pPr>
        <w:tabs>
          <w:tab w:val="left" w:pos="7665"/>
        </w:tabs>
        <w:ind w:firstLine="480" w:firstLineChars="200"/>
        <w:rPr>
          <w:rFonts w:ascii="仿宋" w:hAnsi="仿宋"/>
          <w:color w:val="auto"/>
        </w:rPr>
      </w:pPr>
      <w:r>
        <w:rPr>
          <w:rFonts w:hint="eastAsia" w:ascii="仿宋" w:hAnsi="仿宋"/>
          <w:color w:val="auto"/>
        </w:rPr>
        <w:t>（8）</w:t>
      </w:r>
      <w:bookmarkStart w:id="79" w:name="_Hlk88220234"/>
      <w:r>
        <w:rPr>
          <w:rFonts w:hint="eastAsia" w:ascii="仿宋" w:hAnsi="仿宋"/>
          <w:color w:val="auto"/>
        </w:rPr>
        <w:t>截至本项目响应文件递交截止时间，供应商未被“信用中国”网站（www.creditchina.gov.cn）、“中国政府采购网”网站（www.ccgp.gov.cn）列入失信被执行人、税收违法黑名单、政府采购严重违法失信行为记录名单</w:t>
      </w:r>
      <w:bookmarkEnd w:id="79"/>
      <w:r>
        <w:rPr>
          <w:rFonts w:hint="eastAsia" w:ascii="仿宋" w:hAnsi="仿宋"/>
          <w:color w:val="auto"/>
        </w:rPr>
        <w:t>【提供承诺函】；</w:t>
      </w:r>
    </w:p>
    <w:p>
      <w:pPr>
        <w:pStyle w:val="44"/>
        <w:ind w:firstLine="480"/>
        <w:rPr>
          <w:rFonts w:ascii="仿宋" w:hAnsi="仿宋"/>
          <w:color w:val="auto"/>
        </w:rPr>
      </w:pPr>
      <w:r>
        <w:rPr>
          <w:rFonts w:hint="eastAsia" w:ascii="仿宋" w:hAnsi="仿宋"/>
          <w:color w:val="auto"/>
        </w:rPr>
        <w:t>（9）被列入中国工程物理研究院不良记录行为供应商名单（被禁止参加采购活动）的供应商及其法定代表人名下的其他企业在禁止期内不得参加本次采购活动。</w:t>
      </w:r>
    </w:p>
    <w:p>
      <w:pPr>
        <w:pStyle w:val="44"/>
        <w:ind w:firstLine="480"/>
        <w:rPr>
          <w:rFonts w:ascii="仿宋" w:hAnsi="仿宋"/>
          <w:color w:val="auto"/>
        </w:rPr>
      </w:pPr>
      <w:r>
        <w:rPr>
          <w:rFonts w:hint="eastAsia" w:ascii="仿宋" w:hAnsi="仿宋"/>
          <w:color w:val="auto"/>
        </w:rPr>
        <w:t>注：采购人或采购代理机构将于本项目响应文件递交截止时间在中国工程物理研究院招投标信息网（</w:t>
      </w:r>
      <w:r>
        <w:rPr>
          <w:rFonts w:ascii="仿宋" w:hAnsi="仿宋"/>
          <w:color w:val="auto"/>
        </w:rPr>
        <w:t>http://ztbxx.caep.ac.cn</w:t>
      </w:r>
      <w:r>
        <w:rPr>
          <w:rFonts w:hint="eastAsia" w:ascii="仿宋" w:hAnsi="仿宋"/>
          <w:color w:val="auto"/>
        </w:rPr>
        <w:t>）下载最新的“不良记录行为供应商名单”并进行核对。</w:t>
      </w:r>
    </w:p>
    <w:p>
      <w:pPr>
        <w:tabs>
          <w:tab w:val="left" w:pos="7665"/>
        </w:tabs>
        <w:ind w:firstLine="480" w:firstLineChars="200"/>
        <w:rPr>
          <w:rFonts w:ascii="仿宋" w:hAnsi="仿宋"/>
          <w:color w:val="auto"/>
        </w:rPr>
      </w:pPr>
      <w:r>
        <w:rPr>
          <w:rFonts w:hint="eastAsia" w:ascii="仿宋" w:hAnsi="仿宋"/>
          <w:color w:val="auto"/>
        </w:rPr>
        <w:t>（1</w:t>
      </w:r>
      <w:r>
        <w:rPr>
          <w:rFonts w:ascii="仿宋" w:hAnsi="仿宋"/>
          <w:color w:val="auto"/>
        </w:rPr>
        <w:t>0</w:t>
      </w:r>
      <w:r>
        <w:rPr>
          <w:rFonts w:hint="eastAsia" w:ascii="仿宋" w:hAnsi="仿宋"/>
          <w:color w:val="auto"/>
        </w:rPr>
        <w:t>）按规定获取了询比文件，属于实质性参加采购活动的供应商【获取询比文件的供应商名称必须与递交响应文件的供应商名称完全一致（获取询比文件后依法进行名称变更的除外）】；</w:t>
      </w:r>
    </w:p>
    <w:p>
      <w:pPr>
        <w:tabs>
          <w:tab w:val="left" w:pos="7665"/>
        </w:tabs>
        <w:ind w:firstLine="600" w:firstLineChars="250"/>
        <w:rPr>
          <w:rFonts w:ascii="仿宋" w:hAnsi="仿宋"/>
          <w:color w:val="auto"/>
        </w:rPr>
      </w:pPr>
      <w:r>
        <w:rPr>
          <w:rFonts w:hint="eastAsia" w:ascii="仿宋" w:hAnsi="仿宋"/>
          <w:color w:val="auto"/>
        </w:rPr>
        <w:t>注：采购代理机构向评审小组提供《采购文件发售汇总表》。</w:t>
      </w:r>
    </w:p>
    <w:p>
      <w:pPr>
        <w:tabs>
          <w:tab w:val="left" w:pos="7665"/>
        </w:tabs>
        <w:ind w:firstLine="600" w:firstLineChars="250"/>
        <w:rPr>
          <w:rFonts w:ascii="仿宋" w:hAnsi="仿宋"/>
          <w:color w:val="auto"/>
        </w:rPr>
      </w:pPr>
      <w:r>
        <w:rPr>
          <w:rFonts w:hint="eastAsia" w:ascii="仿宋" w:hAnsi="仿宋"/>
          <w:color w:val="auto"/>
        </w:rPr>
        <w:t>（1</w:t>
      </w:r>
      <w:r>
        <w:rPr>
          <w:rFonts w:ascii="仿宋" w:hAnsi="仿宋"/>
          <w:color w:val="auto"/>
        </w:rPr>
        <w:t>1</w:t>
      </w:r>
      <w:r>
        <w:rPr>
          <w:rFonts w:hint="eastAsia" w:ascii="仿宋" w:hAnsi="仿宋"/>
          <w:color w:val="auto"/>
        </w:rPr>
        <w:t>）本项目是否接受联合体：详见询比邀请。</w:t>
      </w:r>
    </w:p>
    <w:p>
      <w:pPr>
        <w:ind w:firstLine="542" w:firstLineChars="225"/>
        <w:rPr>
          <w:rFonts w:ascii="仿宋" w:hAnsi="仿宋"/>
          <w:b/>
          <w:bCs/>
          <w:color w:val="auto"/>
        </w:rPr>
      </w:pPr>
      <w:r>
        <w:rPr>
          <w:rFonts w:hint="eastAsia" w:ascii="仿宋" w:hAnsi="仿宋"/>
          <w:b/>
          <w:bCs/>
          <w:color w:val="auto"/>
        </w:rPr>
        <w:t>其他类似效力要求：</w:t>
      </w:r>
    </w:p>
    <w:p>
      <w:pPr>
        <w:ind w:firstLine="540" w:firstLineChars="225"/>
        <w:rPr>
          <w:rFonts w:ascii="仿宋" w:hAnsi="仿宋"/>
          <w:color w:val="auto"/>
        </w:rPr>
      </w:pPr>
      <w:r>
        <w:rPr>
          <w:rFonts w:hint="eastAsia" w:ascii="仿宋" w:hAnsi="仿宋"/>
          <w:color w:val="auto"/>
        </w:rPr>
        <w:t>（1）</w:t>
      </w:r>
      <w:r>
        <w:rPr>
          <w:rFonts w:hint="eastAsia" w:ascii="仿宋" w:hAnsi="仿宋"/>
          <w:color w:val="auto"/>
          <w:szCs w:val="21"/>
        </w:rPr>
        <w:t>提供法定代表人/单位负责人授权书原件及法定代表人/单位负责人和授权代表身份证明资料（法定代表人/单位负责人参加询比的只需提供法定代表人/单位负责人身份证明资料）</w:t>
      </w:r>
      <w:r>
        <w:rPr>
          <w:rFonts w:hint="eastAsia" w:ascii="仿宋" w:hAnsi="仿宋"/>
          <w:color w:val="auto"/>
        </w:rPr>
        <w:t>。</w:t>
      </w:r>
    </w:p>
    <w:p>
      <w:pPr>
        <w:ind w:firstLine="540" w:firstLineChars="225"/>
        <w:rPr>
          <w:rFonts w:ascii="仿宋" w:hAnsi="仿宋"/>
          <w:color w:val="auto"/>
        </w:rPr>
      </w:pPr>
      <w:r>
        <w:rPr>
          <w:rFonts w:hint="eastAsia" w:ascii="仿宋" w:hAnsi="仿宋"/>
          <w:color w:val="auto"/>
        </w:rPr>
        <w:t>（2）自然人参加询比的提供其有效期内的身份证明复印件。</w:t>
      </w:r>
    </w:p>
    <w:p>
      <w:pPr>
        <w:pStyle w:val="4"/>
        <w:keepNext w:val="0"/>
        <w:keepLines w:val="0"/>
        <w:spacing w:before="0" w:after="0" w:line="360" w:lineRule="auto"/>
        <w:ind w:firstLine="236" w:firstLineChars="98"/>
        <w:rPr>
          <w:rFonts w:ascii="仿宋" w:hAnsi="仿宋"/>
          <w:color w:val="auto"/>
          <w:sz w:val="24"/>
        </w:rPr>
      </w:pPr>
      <w:r>
        <w:rPr>
          <w:rFonts w:hint="eastAsia" w:ascii="仿宋" w:hAnsi="仿宋"/>
          <w:color w:val="auto"/>
          <w:sz w:val="24"/>
        </w:rPr>
        <w:t>二、报价产品的资格、资质性及其他类似效力要求和应当提供的相关证明材料</w:t>
      </w:r>
    </w:p>
    <w:p>
      <w:pPr>
        <w:ind w:firstLine="360" w:firstLineChars="150"/>
        <w:rPr>
          <w:rFonts w:ascii="仿宋" w:hAnsi="仿宋"/>
          <w:color w:val="auto"/>
        </w:rPr>
      </w:pPr>
      <w:r>
        <w:rPr>
          <w:rFonts w:hint="eastAsia" w:ascii="仿宋" w:hAnsi="仿宋"/>
          <w:color w:val="auto"/>
        </w:rPr>
        <w:t>无</w:t>
      </w:r>
    </w:p>
    <w:p>
      <w:pPr>
        <w:ind w:firstLine="360" w:firstLineChars="150"/>
        <w:jc w:val="left"/>
        <w:rPr>
          <w:rFonts w:ascii="仿宋" w:hAnsi="仿宋"/>
          <w:color w:val="auto"/>
        </w:rPr>
      </w:pPr>
      <w:r>
        <w:rPr>
          <w:rFonts w:hint="eastAsia" w:ascii="仿宋" w:hAnsi="仿宋"/>
          <w:color w:val="auto"/>
        </w:rPr>
        <w:t>注：1. 本章所称</w:t>
      </w:r>
      <w:r>
        <w:rPr>
          <w:rFonts w:ascii="仿宋" w:hAnsi="仿宋"/>
          <w:color w:val="auto"/>
        </w:rPr>
        <w:t>重大违法记录，是指供应商因违法经营受到刑事处罚或者责令停产停业、吊销许可证或者执照、较大数额罚款等行政处罚。供应商在参加采购活动前3年内因违法经营被禁止在一定期限内参加采购活动，期限届满的，可以参加采购活动。</w:t>
      </w:r>
    </w:p>
    <w:p>
      <w:pPr>
        <w:ind w:firstLine="360" w:firstLineChars="150"/>
        <w:jc w:val="left"/>
        <w:rPr>
          <w:rFonts w:ascii="仿宋" w:hAnsi="仿宋"/>
          <w:color w:val="auto"/>
        </w:rPr>
      </w:pPr>
      <w:r>
        <w:rPr>
          <w:rFonts w:hint="eastAsia" w:ascii="仿宋" w:hAnsi="仿宋"/>
          <w:color w:val="auto"/>
        </w:rPr>
        <w:t>重大违法记录中的较大数额罚款的具体金额标准：按照财政部关于《中华人民共和国政府采购法实施条例》第十九条第一款“较大数额罚款”具体适用问题的意见（财库〔2022〕3号）相关规定执行</w:t>
      </w:r>
      <w:r>
        <w:rPr>
          <w:rFonts w:ascii="仿宋" w:hAnsi="仿宋"/>
          <w:color w:val="auto"/>
        </w:rPr>
        <w:t>。</w:t>
      </w:r>
    </w:p>
    <w:p>
      <w:pPr>
        <w:ind w:firstLine="360" w:firstLineChars="150"/>
        <w:jc w:val="left"/>
        <w:rPr>
          <w:rFonts w:ascii="仿宋" w:hAnsi="仿宋"/>
          <w:color w:val="auto"/>
        </w:rPr>
      </w:pPr>
      <w:r>
        <w:rPr>
          <w:rFonts w:hint="eastAsia" w:ascii="仿宋" w:hAnsi="仿宋"/>
          <w:color w:val="auto"/>
        </w:rPr>
        <w:t>2.供应商在参加采购活动前，被纳入法院、工商行政管理部门、税务部门、银行认定的失信名单且在有效期内，或者在前三年采购合同履约过程中及其他经营活动履约过程中未依法履约被有关行政部门处罚（处理）的，本项目不认定其具有良好的商业信誉。</w:t>
      </w:r>
    </w:p>
    <w:p>
      <w:pPr>
        <w:widowControl/>
        <w:jc w:val="left"/>
        <w:rPr>
          <w:rFonts w:ascii="仿宋" w:hAnsi="仿宋"/>
          <w:color w:val="auto"/>
        </w:rPr>
      </w:pPr>
      <w:r>
        <w:rPr>
          <w:rFonts w:ascii="仿宋" w:hAnsi="仿宋"/>
          <w:color w:val="auto"/>
        </w:rPr>
        <w:br w:type="page"/>
      </w:r>
    </w:p>
    <w:p>
      <w:pPr>
        <w:pStyle w:val="24"/>
        <w:rPr>
          <w:rFonts w:ascii="仿宋" w:hAnsi="仿宋"/>
          <w:color w:val="auto"/>
        </w:rPr>
      </w:pPr>
      <w:bookmarkStart w:id="80" w:name="_Toc37838085"/>
      <w:r>
        <w:rPr>
          <w:rFonts w:hint="eastAsia" w:ascii="仿宋" w:hAnsi="仿宋"/>
          <w:color w:val="auto"/>
        </w:rPr>
        <w:t>第四章  采购项目技术、服务及其他商务要求</w:t>
      </w:r>
      <w:bookmarkEnd w:id="80"/>
    </w:p>
    <w:p>
      <w:pPr>
        <w:rPr>
          <w:rFonts w:ascii="仿宋" w:hAnsi="仿宋" w:cs="仿宋"/>
          <w:b/>
          <w:color w:val="auto"/>
          <w:lang w:bidi="ar"/>
        </w:rPr>
      </w:pPr>
      <w:bookmarkStart w:id="81" w:name="_Hlk53407517"/>
      <w:r>
        <w:rPr>
          <w:color w:val="auto"/>
        </w:rPr>
        <w:drawing>
          <wp:inline distT="0" distB="0" distL="114300" distR="114300">
            <wp:extent cx="5812155" cy="6955155"/>
            <wp:effectExtent l="0" t="0" r="444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812155" cy="6955155"/>
                    </a:xfrm>
                    <a:prstGeom prst="rect">
                      <a:avLst/>
                    </a:prstGeom>
                    <a:noFill/>
                    <a:ln>
                      <a:noFill/>
                    </a:ln>
                  </pic:spPr>
                </pic:pic>
              </a:graphicData>
            </a:graphic>
          </wp:inline>
        </w:drawing>
      </w:r>
    </w:p>
    <w:p>
      <w:pPr>
        <w:rPr>
          <w:rFonts w:ascii="仿宋" w:hAnsi="仿宋" w:cs="仿宋"/>
          <w:b/>
          <w:color w:val="auto"/>
          <w:lang w:bidi="ar"/>
        </w:rPr>
      </w:pPr>
      <w:r>
        <w:rPr>
          <w:color w:val="auto"/>
        </w:rPr>
        <w:drawing>
          <wp:inline distT="0" distB="0" distL="114300" distR="114300">
            <wp:extent cx="5407660" cy="60382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407660" cy="6038215"/>
                    </a:xfrm>
                    <a:prstGeom prst="rect">
                      <a:avLst/>
                    </a:prstGeom>
                    <a:noFill/>
                    <a:ln>
                      <a:noFill/>
                    </a:ln>
                  </pic:spPr>
                </pic:pic>
              </a:graphicData>
            </a:graphic>
          </wp:inline>
        </w:drawing>
      </w:r>
    </w:p>
    <w:p>
      <w:pPr>
        <w:keepNext/>
        <w:keepLines/>
        <w:widowControl/>
        <w:tabs>
          <w:tab w:val="left" w:pos="540"/>
        </w:tabs>
        <w:spacing w:before="120" w:beforeLines="50" w:after="120" w:afterLines="50" w:line="460" w:lineRule="exact"/>
        <w:rPr>
          <w:rFonts w:ascii="仿宋" w:hAnsi="仿宋"/>
          <w:b/>
          <w:bCs/>
          <w:color w:val="auto"/>
          <w:kern w:val="44"/>
          <w:sz w:val="28"/>
          <w:szCs w:val="28"/>
        </w:rPr>
      </w:pPr>
      <w:r>
        <w:rPr>
          <w:rFonts w:hint="eastAsia" w:ascii="仿宋" w:hAnsi="仿宋"/>
          <w:b/>
          <w:bCs/>
          <w:color w:val="auto"/>
          <w:kern w:val="44"/>
          <w:sz w:val="28"/>
          <w:szCs w:val="28"/>
        </w:rPr>
        <w:t>6付款方式:</w:t>
      </w:r>
    </w:p>
    <w:p>
      <w:pPr>
        <w:spacing w:line="500" w:lineRule="exact"/>
        <w:ind w:firstLine="420" w:firstLineChars="150"/>
        <w:rPr>
          <w:rFonts w:ascii="仿宋" w:hAnsi="仿宋" w:cs="仿宋"/>
          <w:color w:val="auto"/>
          <w:sz w:val="28"/>
          <w:szCs w:val="28"/>
        </w:rPr>
      </w:pPr>
      <w:r>
        <w:rPr>
          <w:rFonts w:hint="eastAsia" w:ascii="仿宋" w:hAnsi="仿宋" w:cs="仿宋"/>
          <w:color w:val="auto"/>
          <w:sz w:val="28"/>
          <w:szCs w:val="28"/>
        </w:rPr>
        <w:t xml:space="preserve">本合同采取 </w:t>
      </w:r>
      <w:r>
        <w:rPr>
          <w:rFonts w:hint="eastAsia" w:ascii="仿宋" w:hAnsi="仿宋" w:cs="仿宋"/>
          <w:color w:val="auto"/>
          <w:sz w:val="28"/>
          <w:szCs w:val="28"/>
          <w:u w:val="single"/>
        </w:rPr>
        <w:t xml:space="preserve"> 一次性  </w:t>
      </w:r>
      <w:r>
        <w:rPr>
          <w:rFonts w:hint="eastAsia" w:ascii="仿宋" w:hAnsi="仿宋" w:cs="仿宋"/>
          <w:color w:val="auto"/>
          <w:sz w:val="28"/>
          <w:szCs w:val="28"/>
        </w:rPr>
        <w:t>方式，采用银行转账支付或银行承兑汇票支付，验收合格后20个工作日内，甲方向乙方支付合同100%款项。</w:t>
      </w:r>
    </w:p>
    <w:p>
      <w:pPr>
        <w:keepNext/>
        <w:keepLines/>
        <w:widowControl/>
        <w:tabs>
          <w:tab w:val="left" w:pos="540"/>
        </w:tabs>
        <w:spacing w:before="120" w:beforeLines="50" w:after="120" w:afterLines="50" w:line="460" w:lineRule="exact"/>
        <w:rPr>
          <w:rFonts w:ascii="仿宋" w:hAnsi="仿宋"/>
          <w:b/>
          <w:bCs/>
          <w:color w:val="auto"/>
          <w:kern w:val="44"/>
          <w:sz w:val="28"/>
          <w:szCs w:val="28"/>
        </w:rPr>
      </w:pPr>
      <w:r>
        <w:rPr>
          <w:rFonts w:hint="eastAsia" w:ascii="仿宋" w:hAnsi="仿宋"/>
          <w:b/>
          <w:bCs/>
          <w:color w:val="auto"/>
          <w:kern w:val="44"/>
          <w:sz w:val="28"/>
          <w:szCs w:val="28"/>
        </w:rPr>
        <w:t>7质保期及售后服务要求:</w:t>
      </w:r>
    </w:p>
    <w:p>
      <w:pPr>
        <w:spacing w:line="500" w:lineRule="exact"/>
        <w:ind w:firstLine="420" w:firstLineChars="150"/>
        <w:rPr>
          <w:rFonts w:ascii="仿宋" w:hAnsi="仿宋" w:cs="仿宋"/>
          <w:b/>
          <w:color w:val="auto"/>
          <w:lang w:bidi="ar"/>
        </w:rPr>
      </w:pPr>
      <w:r>
        <w:rPr>
          <w:rFonts w:hint="eastAsia" w:ascii="仿宋" w:hAnsi="仿宋" w:cs="仿宋"/>
          <w:color w:val="auto"/>
          <w:sz w:val="28"/>
          <w:szCs w:val="28"/>
        </w:rPr>
        <w:t>本项目质保期自验收合格之日起1年。质保期内，乙方需在24小时内响应，若需到场解决，需在48小时内响应到场（不可抗力因素除外）。</w:t>
      </w:r>
    </w:p>
    <w:p>
      <w:pPr>
        <w:ind w:firstLine="482" w:firstLineChars="200"/>
        <w:jc w:val="left"/>
        <w:rPr>
          <w:rFonts w:ascii="仿宋" w:hAnsi="仿宋" w:cs="仿宋"/>
          <w:b/>
          <w:color w:val="auto"/>
          <w:lang w:bidi="ar"/>
        </w:rPr>
      </w:pPr>
    </w:p>
    <w:p>
      <w:pPr>
        <w:ind w:firstLine="482" w:firstLineChars="200"/>
        <w:jc w:val="left"/>
        <w:rPr>
          <w:rFonts w:ascii="仿宋" w:hAnsi="仿宋" w:cs="仿宋"/>
          <w:b/>
          <w:color w:val="auto"/>
          <w:lang w:bidi="ar"/>
        </w:rPr>
      </w:pPr>
    </w:p>
    <w:p>
      <w:pPr>
        <w:ind w:firstLine="482" w:firstLineChars="200"/>
        <w:jc w:val="left"/>
        <w:rPr>
          <w:rFonts w:ascii="仿宋" w:hAnsi="仿宋" w:cs="仿宋"/>
          <w:b/>
          <w:color w:val="auto"/>
          <w:lang w:bidi="ar"/>
        </w:rPr>
      </w:pPr>
      <w:r>
        <w:rPr>
          <w:rFonts w:hint="eastAsia" w:ascii="仿宋" w:hAnsi="仿宋" w:cs="仿宋"/>
          <w:b/>
          <w:color w:val="auto"/>
          <w:lang w:bidi="ar"/>
        </w:rPr>
        <w:t>附件1：</w:t>
      </w:r>
    </w:p>
    <w:p>
      <w:pPr>
        <w:ind w:firstLine="482" w:firstLineChars="200"/>
        <w:jc w:val="center"/>
        <w:rPr>
          <w:rFonts w:ascii="仿宋" w:hAnsi="仿宋" w:cs="仿宋"/>
          <w:b/>
          <w:color w:val="auto"/>
          <w:lang w:bidi="ar"/>
        </w:rPr>
      </w:pPr>
      <w:r>
        <w:rPr>
          <w:rFonts w:ascii="仿宋" w:hAnsi="仿宋" w:cs="仿宋"/>
          <w:b/>
          <w:color w:val="auto"/>
          <w:lang w:bidi="ar"/>
        </w:rPr>
        <w:t>关键尺寸及喷漆说明</w:t>
      </w:r>
      <w:r>
        <w:rPr>
          <w:rFonts w:hint="eastAsia" w:ascii="仿宋" w:hAnsi="仿宋" w:cs="仿宋"/>
          <w:b/>
          <w:color w:val="auto"/>
          <w:lang w:bidi="ar"/>
        </w:rPr>
        <w:t>-1</w:t>
      </w:r>
    </w:p>
    <w:p>
      <w:pPr>
        <w:jc w:val="center"/>
        <w:rPr>
          <w:rFonts w:ascii="仿宋" w:hAnsi="仿宋" w:cs="仿宋"/>
          <w:b/>
          <w:color w:val="auto"/>
          <w:lang w:bidi="ar"/>
        </w:rPr>
      </w:pPr>
      <w:r>
        <w:rPr>
          <w:rFonts w:ascii="仿宋" w:hAnsi="仿宋" w:cs="仿宋"/>
          <w:b/>
          <w:color w:val="auto"/>
          <w:lang w:bidi="ar"/>
        </w:rPr>
        <w:drawing>
          <wp:inline distT="0" distB="0" distL="114300" distR="114300">
            <wp:extent cx="5758180" cy="8145780"/>
            <wp:effectExtent l="0" t="0" r="7620" b="7620"/>
            <wp:docPr id="3" name="图片 3" descr="关键尺寸及喷漆说明-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键尺寸及喷漆说明-1_00"/>
                    <pic:cNvPicPr>
                      <a:picLocks noChangeAspect="1"/>
                    </pic:cNvPicPr>
                  </pic:nvPicPr>
                  <pic:blipFill>
                    <a:blip r:embed="rId22"/>
                    <a:stretch>
                      <a:fillRect/>
                    </a:stretch>
                  </pic:blipFill>
                  <pic:spPr>
                    <a:xfrm>
                      <a:off x="0" y="0"/>
                      <a:ext cx="5758180" cy="8145780"/>
                    </a:xfrm>
                    <a:prstGeom prst="rect">
                      <a:avLst/>
                    </a:prstGeom>
                  </pic:spPr>
                </pic:pic>
              </a:graphicData>
            </a:graphic>
          </wp:inline>
        </w:drawing>
      </w:r>
    </w:p>
    <w:p>
      <w:pPr>
        <w:ind w:firstLine="482" w:firstLineChars="200"/>
        <w:jc w:val="center"/>
        <w:rPr>
          <w:rFonts w:ascii="仿宋" w:hAnsi="仿宋" w:cs="仿宋"/>
          <w:b/>
          <w:color w:val="auto"/>
          <w:lang w:bidi="ar"/>
        </w:rPr>
      </w:pPr>
      <w:r>
        <w:rPr>
          <w:rFonts w:ascii="仿宋" w:hAnsi="仿宋" w:cs="仿宋"/>
          <w:b/>
          <w:color w:val="auto"/>
          <w:lang w:bidi="ar"/>
        </w:rPr>
        <w:t>关键尺寸及喷漆说明</w:t>
      </w:r>
      <w:r>
        <w:rPr>
          <w:rFonts w:hint="eastAsia" w:ascii="仿宋" w:hAnsi="仿宋" w:cs="仿宋"/>
          <w:b/>
          <w:color w:val="auto"/>
          <w:lang w:bidi="ar"/>
        </w:rPr>
        <w:t>-2</w:t>
      </w:r>
    </w:p>
    <w:p>
      <w:pPr>
        <w:rPr>
          <w:rFonts w:ascii="仿宋" w:hAnsi="仿宋" w:cs="仿宋"/>
          <w:b/>
          <w:color w:val="auto"/>
          <w:lang w:bidi="ar"/>
        </w:rPr>
      </w:pPr>
      <w:r>
        <w:rPr>
          <w:rFonts w:ascii="仿宋" w:hAnsi="仿宋" w:cs="仿宋"/>
          <w:b/>
          <w:color w:val="auto"/>
          <w:lang w:bidi="ar"/>
        </w:rPr>
        <w:drawing>
          <wp:inline distT="0" distB="0" distL="114300" distR="114300">
            <wp:extent cx="5751830" cy="8137525"/>
            <wp:effectExtent l="0" t="0" r="1270" b="3175"/>
            <wp:docPr id="4" name="图片 4" descr="关键尺寸及喷漆说明-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键尺寸及喷漆说明-2_00"/>
                    <pic:cNvPicPr>
                      <a:picLocks noChangeAspect="1"/>
                    </pic:cNvPicPr>
                  </pic:nvPicPr>
                  <pic:blipFill>
                    <a:blip r:embed="rId23"/>
                    <a:stretch>
                      <a:fillRect/>
                    </a:stretch>
                  </pic:blipFill>
                  <pic:spPr>
                    <a:xfrm>
                      <a:off x="0" y="0"/>
                      <a:ext cx="5751830" cy="8137525"/>
                    </a:xfrm>
                    <a:prstGeom prst="rect">
                      <a:avLst/>
                    </a:prstGeom>
                  </pic:spPr>
                </pic:pic>
              </a:graphicData>
            </a:graphic>
          </wp:inline>
        </w:drawing>
      </w:r>
    </w:p>
    <w:p>
      <w:pPr>
        <w:ind w:firstLine="482" w:firstLineChars="200"/>
        <w:rPr>
          <w:rFonts w:ascii="仿宋" w:hAnsi="仿宋" w:cs="仿宋"/>
          <w:b/>
          <w:color w:val="auto"/>
          <w:lang w:bidi="ar"/>
        </w:rPr>
      </w:pPr>
    </w:p>
    <w:p>
      <w:pPr>
        <w:ind w:firstLine="482" w:firstLineChars="200"/>
        <w:rPr>
          <w:rFonts w:ascii="仿宋" w:hAnsi="仿宋" w:cs="仿宋"/>
          <w:b/>
          <w:color w:val="auto"/>
          <w:lang w:bidi="ar"/>
        </w:rPr>
      </w:pPr>
      <w:r>
        <w:rPr>
          <w:rFonts w:hint="eastAsia" w:ascii="仿宋" w:hAnsi="仿宋" w:cs="仿宋"/>
          <w:b/>
          <w:color w:val="auto"/>
          <w:lang w:bidi="ar"/>
        </w:rPr>
        <w:t>说明：1.本章采购项目技术、服务及其他商务要求中所有条款均为本次采购项目的实质性要求，供应商应全部满足。</w:t>
      </w:r>
    </w:p>
    <w:p>
      <w:pPr>
        <w:ind w:firstLine="482" w:firstLineChars="200"/>
        <w:rPr>
          <w:rFonts w:ascii="仿宋" w:hAnsi="仿宋" w:cs="仿宋"/>
          <w:b/>
          <w:color w:val="auto"/>
        </w:rPr>
      </w:pPr>
      <w:r>
        <w:rPr>
          <w:rFonts w:hint="eastAsia" w:ascii="仿宋" w:hAnsi="仿宋" w:cs="仿宋"/>
          <w:b/>
          <w:color w:val="auto"/>
          <w:lang w:bidi="ar"/>
        </w:rPr>
        <w:t>2.</w:t>
      </w:r>
      <w:r>
        <w:rPr>
          <w:rFonts w:hint="eastAsia" w:ascii="仿宋" w:hAnsi="仿宋"/>
          <w:b/>
          <w:bCs/>
          <w:color w:val="auto"/>
        </w:rPr>
        <w:t>本章中如涉及“甲方、用户、需方、我所”均泛指采购人，“乙方、供方、承研方”均泛指供应商</w:t>
      </w:r>
      <w:r>
        <w:rPr>
          <w:rFonts w:hint="eastAsia" w:ascii="仿宋" w:hAnsi="仿宋" w:cs="仿宋"/>
          <w:b/>
          <w:color w:val="auto"/>
          <w:lang w:bidi="ar"/>
        </w:rPr>
        <w:t>。</w:t>
      </w:r>
    </w:p>
    <w:p>
      <w:pPr>
        <w:ind w:firstLine="482" w:firstLineChars="200"/>
        <w:rPr>
          <w:rFonts w:ascii="仿宋" w:hAnsi="仿宋" w:cs="仿宋"/>
          <w:b/>
          <w:color w:val="auto"/>
          <w:lang w:bidi="ar"/>
        </w:rPr>
      </w:pPr>
      <w:r>
        <w:rPr>
          <w:rFonts w:hint="eastAsia" w:ascii="仿宋" w:hAnsi="仿宋" w:cs="仿宋"/>
          <w:b/>
          <w:color w:val="auto"/>
          <w:lang w:bidi="ar"/>
        </w:rPr>
        <w:t>3.本采购文件如涉及到配置或材料的商标、品牌、生产厂家、产地等，仅起说明作用，其目的在于清楚明确地说明采购项目的技术标准和要求。供应商响应时可选择本章推荐的，也可选择相当于或优于推荐商标、品牌、生产厂家、产地、型号的配置或材料。</w:t>
      </w:r>
    </w:p>
    <w:p>
      <w:pPr>
        <w:ind w:firstLine="482" w:firstLineChars="200"/>
        <w:rPr>
          <w:color w:val="auto"/>
        </w:rPr>
      </w:pPr>
      <w:r>
        <w:rPr>
          <w:rFonts w:hint="eastAsia" w:ascii="仿宋" w:hAnsi="仿宋" w:cs="仿宋"/>
          <w:b/>
          <w:color w:val="auto"/>
          <w:lang w:bidi="ar"/>
        </w:rPr>
        <w:t>4.</w:t>
      </w:r>
      <w:r>
        <w:rPr>
          <w:rFonts w:hint="eastAsia" w:ascii="仿宋" w:hAnsi="仿宋"/>
          <w:b/>
          <w:color w:val="auto"/>
          <w:lang w:bidi="ar"/>
        </w:rPr>
        <w:t>供应商请勿在其响应文件中提供涉密资料，由此带来的后果自负。</w:t>
      </w:r>
    </w:p>
    <w:p>
      <w:pPr>
        <w:rPr>
          <w:color w:val="auto"/>
        </w:rPr>
      </w:pPr>
    </w:p>
    <w:p>
      <w:pPr>
        <w:rPr>
          <w:color w:val="auto"/>
        </w:rPr>
      </w:pPr>
    </w:p>
    <w:bookmarkEnd w:id="81"/>
    <w:p>
      <w:pPr>
        <w:rPr>
          <w:rFonts w:ascii="仿宋" w:hAnsi="仿宋" w:cs="仿宋"/>
          <w:b/>
          <w:color w:val="auto"/>
        </w:rPr>
      </w:pPr>
    </w:p>
    <w:p>
      <w:pPr>
        <w:rPr>
          <w:rFonts w:ascii="仿宋" w:hAnsi="仿宋" w:cs="仿宋"/>
          <w:color w:val="auto"/>
        </w:rPr>
        <w:sectPr>
          <w:footerReference r:id="rId16" w:type="default"/>
          <w:pgSz w:w="11907" w:h="16840"/>
          <w:pgMar w:top="1418" w:right="1418" w:bottom="1418" w:left="1418" w:header="851" w:footer="992" w:gutter="0"/>
          <w:cols w:space="425" w:num="1"/>
          <w:docGrid w:linePitch="326" w:charSpace="0"/>
        </w:sectPr>
      </w:pPr>
    </w:p>
    <w:bookmarkEnd w:id="18"/>
    <w:bookmarkEnd w:id="19"/>
    <w:bookmarkEnd w:id="20"/>
    <w:bookmarkEnd w:id="21"/>
    <w:bookmarkEnd w:id="22"/>
    <w:p>
      <w:pPr>
        <w:pStyle w:val="24"/>
        <w:rPr>
          <w:rFonts w:ascii="仿宋" w:hAnsi="仿宋"/>
          <w:color w:val="auto"/>
        </w:rPr>
      </w:pPr>
      <w:bookmarkStart w:id="82" w:name="_Toc37838086"/>
      <w:bookmarkStart w:id="83" w:name="_Toc217446057"/>
      <w:bookmarkStart w:id="84" w:name="_Toc183682369"/>
      <w:bookmarkStart w:id="85" w:name="_Toc183582232"/>
      <w:r>
        <w:rPr>
          <w:rFonts w:hint="eastAsia" w:ascii="仿宋" w:hAnsi="仿宋"/>
          <w:color w:val="auto"/>
        </w:rPr>
        <w:t>第五章  响应文件格式</w:t>
      </w:r>
      <w:bookmarkEnd w:id="82"/>
    </w:p>
    <w:p>
      <w:pPr>
        <w:jc w:val="center"/>
        <w:rPr>
          <w:rFonts w:ascii="仿宋" w:hAnsi="仿宋"/>
          <w:b/>
          <w:color w:val="auto"/>
        </w:rPr>
      </w:pPr>
    </w:p>
    <w:p>
      <w:pPr>
        <w:ind w:firstLine="480" w:firstLineChars="200"/>
        <w:rPr>
          <w:rFonts w:ascii="仿宋" w:hAnsi="仿宋"/>
          <w:color w:val="auto"/>
        </w:rPr>
      </w:pPr>
      <w:bookmarkStart w:id="86" w:name="_Toc513469321"/>
      <w:bookmarkStart w:id="87" w:name="_Toc19877030"/>
      <w:r>
        <w:rPr>
          <w:rFonts w:hint="eastAsia" w:ascii="仿宋" w:hAnsi="仿宋"/>
          <w:color w:val="auto"/>
        </w:rPr>
        <w:t>一</w:t>
      </w:r>
      <w:r>
        <w:rPr>
          <w:rFonts w:hint="eastAsia" w:ascii="仿宋" w:hAnsi="仿宋"/>
          <w:b/>
          <w:color w:val="auto"/>
        </w:rPr>
        <w:t>、</w:t>
      </w:r>
      <w:bookmarkEnd w:id="86"/>
      <w:bookmarkEnd w:id="87"/>
      <w:bookmarkStart w:id="88" w:name="_Toc513469322"/>
      <w:bookmarkStart w:id="89" w:name="_Toc19877031"/>
      <w:r>
        <w:rPr>
          <w:rFonts w:hint="eastAsia" w:ascii="仿宋" w:hAnsi="仿宋"/>
          <w:color w:val="auto"/>
        </w:rPr>
        <w:t>供应商应按本章给定格式编写响应文件，供应商改变给定格式但不影响实质响应的，可以继续进行评审。</w:t>
      </w:r>
      <w:bookmarkEnd w:id="88"/>
      <w:r>
        <w:rPr>
          <w:rFonts w:hint="eastAsia" w:ascii="仿宋" w:hAnsi="仿宋"/>
          <w:color w:val="auto"/>
        </w:rPr>
        <w:t>没有给定格式的由供应商自行编写。</w:t>
      </w:r>
      <w:bookmarkEnd w:id="89"/>
    </w:p>
    <w:p>
      <w:pPr>
        <w:ind w:firstLine="480" w:firstLineChars="200"/>
        <w:rPr>
          <w:rFonts w:ascii="仿宋" w:hAnsi="仿宋"/>
          <w:color w:val="auto"/>
        </w:rPr>
      </w:pPr>
      <w:bookmarkStart w:id="90" w:name="_Toc19877032"/>
      <w:bookmarkStart w:id="91" w:name="_Toc513469323"/>
      <w:r>
        <w:rPr>
          <w:rFonts w:hint="eastAsia" w:ascii="仿宋" w:hAnsi="仿宋"/>
          <w:color w:val="auto"/>
        </w:rPr>
        <w:t>二、本章所制响应文件格式有关表格中的备注栏，由供应商根据自身响应情况作解释性说明，不作为必填项。</w:t>
      </w:r>
      <w:bookmarkEnd w:id="90"/>
      <w:bookmarkEnd w:id="91"/>
    </w:p>
    <w:p>
      <w:pPr>
        <w:ind w:firstLine="480" w:firstLineChars="200"/>
        <w:rPr>
          <w:rFonts w:ascii="仿宋" w:hAnsi="仿宋"/>
          <w:color w:val="auto"/>
        </w:rPr>
      </w:pPr>
      <w:bookmarkStart w:id="92" w:name="_Toc513469324"/>
      <w:r>
        <w:rPr>
          <w:rFonts w:hint="eastAsia" w:ascii="仿宋" w:hAnsi="仿宋"/>
          <w:color w:val="auto"/>
        </w:rPr>
        <w:t>三、本章所制响应文件格式中需要填写的相关内容事项，可能会与本采购项目无关，在不改变响应文件原义、不影响本项目采购需求的情况下，供应商可以不予填写</w:t>
      </w:r>
      <w:bookmarkEnd w:id="92"/>
      <w:r>
        <w:rPr>
          <w:rFonts w:hint="eastAsia" w:ascii="仿宋" w:hAnsi="仿宋"/>
          <w:color w:val="auto"/>
        </w:rPr>
        <w:t>。</w:t>
      </w:r>
    </w:p>
    <w:p>
      <w:pPr>
        <w:widowControl/>
        <w:jc w:val="left"/>
        <w:rPr>
          <w:rFonts w:ascii="仿宋" w:hAnsi="仿宋"/>
          <w:color w:val="auto"/>
        </w:rPr>
      </w:pPr>
      <w:r>
        <w:rPr>
          <w:rFonts w:ascii="仿宋" w:hAnsi="仿宋"/>
          <w:color w:val="auto"/>
        </w:rPr>
        <w:br w:type="page"/>
      </w:r>
    </w:p>
    <w:p>
      <w:pPr>
        <w:jc w:val="right"/>
        <w:rPr>
          <w:rFonts w:ascii="仿宋" w:hAnsi="仿宋"/>
          <w:b/>
          <w:color w:val="auto"/>
          <w:sz w:val="36"/>
        </w:rPr>
      </w:pPr>
      <w:r>
        <w:rPr>
          <w:rFonts w:ascii="仿宋" w:hAnsi="仿宋"/>
          <w:b/>
          <w:color w:val="auto"/>
          <w:sz w:val="36"/>
        </w:rPr>
        <w:t>（正本/副本）</w:t>
      </w:r>
    </w:p>
    <w:p>
      <w:pPr>
        <w:rPr>
          <w:rFonts w:ascii="仿宋" w:hAnsi="仿宋"/>
          <w:b/>
          <w:color w:val="auto"/>
          <w:sz w:val="72"/>
        </w:rPr>
      </w:pPr>
    </w:p>
    <w:p>
      <w:pPr>
        <w:jc w:val="center"/>
        <w:rPr>
          <w:rFonts w:ascii="仿宋" w:hAnsi="仿宋"/>
          <w:b/>
          <w:color w:val="auto"/>
          <w:sz w:val="72"/>
        </w:rPr>
      </w:pPr>
      <w:r>
        <w:rPr>
          <w:rFonts w:hint="eastAsia" w:ascii="仿宋" w:hAnsi="仿宋"/>
          <w:b/>
          <w:color w:val="auto"/>
          <w:sz w:val="40"/>
          <w:szCs w:val="48"/>
          <w:u w:val="single"/>
        </w:rPr>
        <w:t>XX</w:t>
      </w:r>
      <w:r>
        <w:rPr>
          <w:rFonts w:hint="eastAsia" w:ascii="仿宋" w:hAnsi="仿宋"/>
          <w:b/>
          <w:color w:val="auto"/>
          <w:sz w:val="40"/>
          <w:szCs w:val="48"/>
        </w:rPr>
        <w:t>项目</w:t>
      </w:r>
    </w:p>
    <w:p>
      <w:pPr>
        <w:rPr>
          <w:rFonts w:ascii="仿宋" w:hAnsi="仿宋"/>
          <w:b/>
          <w:color w:val="auto"/>
          <w:sz w:val="52"/>
          <w:szCs w:val="52"/>
        </w:rPr>
      </w:pPr>
    </w:p>
    <w:p>
      <w:pPr>
        <w:jc w:val="center"/>
        <w:rPr>
          <w:rFonts w:ascii="仿宋" w:hAnsi="仿宋"/>
          <w:b/>
          <w:color w:val="auto"/>
          <w:sz w:val="32"/>
          <w:szCs w:val="32"/>
        </w:rPr>
      </w:pPr>
      <w:r>
        <w:rPr>
          <w:rFonts w:hint="eastAsia" w:ascii="仿宋" w:hAnsi="仿宋"/>
          <w:b/>
          <w:color w:val="auto"/>
          <w:sz w:val="52"/>
          <w:szCs w:val="52"/>
        </w:rPr>
        <w:t>响 应 文 件</w:t>
      </w:r>
    </w:p>
    <w:p>
      <w:pPr>
        <w:rPr>
          <w:rFonts w:ascii="仿宋" w:hAnsi="仿宋"/>
          <w:b/>
          <w:color w:val="auto"/>
          <w:sz w:val="36"/>
        </w:rPr>
      </w:pPr>
    </w:p>
    <w:p>
      <w:pPr>
        <w:rPr>
          <w:rFonts w:ascii="仿宋" w:hAnsi="仿宋"/>
          <w:b/>
          <w:color w:val="auto"/>
          <w:sz w:val="36"/>
        </w:rPr>
      </w:pPr>
    </w:p>
    <w:p>
      <w:pPr>
        <w:ind w:firstLine="643" w:firstLineChars="200"/>
        <w:jc w:val="left"/>
        <w:rPr>
          <w:rFonts w:ascii="仿宋" w:hAnsi="仿宋"/>
          <w:b/>
          <w:color w:val="auto"/>
          <w:sz w:val="32"/>
          <w:u w:val="single"/>
        </w:rPr>
      </w:pPr>
      <w:r>
        <w:rPr>
          <w:rFonts w:hint="eastAsia" w:ascii="仿宋" w:hAnsi="仿宋"/>
          <w:b/>
          <w:color w:val="auto"/>
          <w:sz w:val="32"/>
        </w:rPr>
        <w:t>供 应 商</w:t>
      </w:r>
      <w:r>
        <w:rPr>
          <w:rFonts w:ascii="仿宋" w:hAnsi="仿宋"/>
          <w:b/>
          <w:color w:val="auto"/>
          <w:sz w:val="32"/>
        </w:rPr>
        <w:t>名称：</w:t>
      </w:r>
    </w:p>
    <w:p>
      <w:pPr>
        <w:ind w:firstLine="643" w:firstLineChars="200"/>
        <w:jc w:val="left"/>
        <w:rPr>
          <w:rFonts w:ascii="仿宋" w:hAnsi="仿宋"/>
          <w:b/>
          <w:color w:val="auto"/>
          <w:sz w:val="32"/>
          <w:u w:val="single"/>
        </w:rPr>
      </w:pPr>
      <w:r>
        <w:rPr>
          <w:rFonts w:hint="eastAsia" w:ascii="仿宋" w:hAnsi="仿宋"/>
          <w:b/>
          <w:color w:val="auto"/>
          <w:sz w:val="32"/>
        </w:rPr>
        <w:t xml:space="preserve">采 购 </w:t>
      </w:r>
      <w:r>
        <w:rPr>
          <w:rFonts w:ascii="仿宋" w:hAnsi="仿宋"/>
          <w:b/>
          <w:color w:val="auto"/>
          <w:sz w:val="32"/>
        </w:rPr>
        <w:t>编</w:t>
      </w:r>
      <w:r>
        <w:rPr>
          <w:rFonts w:hint="eastAsia" w:ascii="仿宋" w:hAnsi="仿宋"/>
          <w:b/>
          <w:color w:val="auto"/>
          <w:sz w:val="32"/>
        </w:rPr>
        <w:t xml:space="preserve"> </w:t>
      </w:r>
      <w:r>
        <w:rPr>
          <w:rFonts w:ascii="仿宋" w:hAnsi="仿宋"/>
          <w:b/>
          <w:color w:val="auto"/>
          <w:sz w:val="32"/>
        </w:rPr>
        <w:t>号：</w:t>
      </w:r>
    </w:p>
    <w:p>
      <w:pPr>
        <w:ind w:firstLine="643" w:firstLineChars="200"/>
        <w:jc w:val="left"/>
        <w:rPr>
          <w:rFonts w:ascii="仿宋" w:hAnsi="仿宋"/>
          <w:b/>
          <w:color w:val="auto"/>
          <w:sz w:val="32"/>
          <w:u w:val="single"/>
        </w:rPr>
      </w:pPr>
      <w:r>
        <w:rPr>
          <w:rFonts w:hint="eastAsia" w:ascii="仿宋" w:hAnsi="仿宋"/>
          <w:b/>
          <w:color w:val="auto"/>
          <w:sz w:val="32"/>
        </w:rPr>
        <w:t>包号及名称（如有）</w:t>
      </w:r>
      <w:r>
        <w:rPr>
          <w:rFonts w:ascii="仿宋" w:hAnsi="仿宋"/>
          <w:b/>
          <w:color w:val="auto"/>
          <w:sz w:val="32"/>
        </w:rPr>
        <w:t>：</w:t>
      </w:r>
    </w:p>
    <w:p>
      <w:pPr>
        <w:jc w:val="center"/>
        <w:rPr>
          <w:rFonts w:ascii="仿宋" w:hAnsi="仿宋"/>
          <w:b/>
          <w:color w:val="auto"/>
          <w:sz w:val="36"/>
        </w:rPr>
      </w:pPr>
    </w:p>
    <w:p>
      <w:pPr>
        <w:jc w:val="center"/>
        <w:rPr>
          <w:rFonts w:ascii="仿宋" w:hAnsi="仿宋"/>
          <w:b/>
          <w:color w:val="auto"/>
          <w:sz w:val="36"/>
        </w:rPr>
      </w:pPr>
    </w:p>
    <w:p>
      <w:pPr>
        <w:jc w:val="center"/>
        <w:rPr>
          <w:rFonts w:ascii="仿宋" w:hAnsi="仿宋"/>
          <w:b/>
          <w:color w:val="auto"/>
          <w:sz w:val="36"/>
        </w:rPr>
      </w:pPr>
    </w:p>
    <w:p>
      <w:pPr>
        <w:jc w:val="center"/>
        <w:rPr>
          <w:rFonts w:ascii="仿宋" w:hAnsi="仿宋" w:cs="Arial"/>
          <w:b/>
          <w:bCs/>
          <w:color w:val="auto"/>
          <w:sz w:val="32"/>
          <w:szCs w:val="32"/>
        </w:rPr>
      </w:pPr>
      <w:r>
        <w:rPr>
          <w:rFonts w:ascii="仿宋" w:hAnsi="仿宋"/>
          <w:b/>
          <w:color w:val="auto"/>
          <w:sz w:val="32"/>
        </w:rPr>
        <w:t>日期：</w:t>
      </w:r>
      <w:r>
        <w:rPr>
          <w:rFonts w:hint="eastAsia" w:ascii="仿宋" w:hAnsi="仿宋"/>
          <w:b/>
          <w:color w:val="auto"/>
          <w:sz w:val="32"/>
        </w:rPr>
        <w:t>2023年XX</w:t>
      </w:r>
      <w:r>
        <w:rPr>
          <w:rFonts w:ascii="仿宋" w:hAnsi="仿宋"/>
          <w:b/>
          <w:color w:val="auto"/>
          <w:sz w:val="32"/>
        </w:rPr>
        <w:t>月</w:t>
      </w:r>
      <w:r>
        <w:rPr>
          <w:rFonts w:hint="eastAsia" w:ascii="仿宋" w:hAnsi="仿宋"/>
          <w:b/>
          <w:color w:val="auto"/>
          <w:sz w:val="32"/>
        </w:rPr>
        <w:t>XX</w:t>
      </w:r>
      <w:r>
        <w:rPr>
          <w:rFonts w:ascii="仿宋" w:hAnsi="仿宋"/>
          <w:b/>
          <w:color w:val="auto"/>
          <w:sz w:val="32"/>
        </w:rPr>
        <w:t>日</w:t>
      </w:r>
    </w:p>
    <w:p>
      <w:pPr>
        <w:widowControl/>
        <w:jc w:val="left"/>
        <w:rPr>
          <w:rFonts w:ascii="仿宋" w:hAnsi="仿宋" w:cs="Arial"/>
          <w:b/>
          <w:bCs/>
          <w:color w:val="auto"/>
          <w:sz w:val="32"/>
          <w:szCs w:val="32"/>
        </w:rPr>
      </w:pPr>
      <w:r>
        <w:rPr>
          <w:rFonts w:ascii="仿宋" w:hAnsi="仿宋" w:cs="Arial"/>
          <w:b/>
          <w:bCs/>
          <w:color w:val="auto"/>
          <w:sz w:val="32"/>
          <w:szCs w:val="32"/>
        </w:rPr>
        <w:br w:type="page"/>
      </w:r>
    </w:p>
    <w:p>
      <w:pPr>
        <w:widowControl/>
        <w:jc w:val="center"/>
        <w:outlineLvl w:val="1"/>
        <w:rPr>
          <w:rFonts w:ascii="仿宋" w:hAnsi="仿宋"/>
          <w:b/>
          <w:color w:val="auto"/>
          <w:sz w:val="32"/>
          <w:szCs w:val="32"/>
        </w:rPr>
      </w:pPr>
      <w:r>
        <w:rPr>
          <w:rFonts w:hint="eastAsia" w:ascii="仿宋" w:hAnsi="仿宋"/>
          <w:b/>
          <w:color w:val="auto"/>
          <w:sz w:val="32"/>
          <w:szCs w:val="32"/>
        </w:rPr>
        <w:t>目 录</w:t>
      </w:r>
    </w:p>
    <w:p>
      <w:pPr>
        <w:jc w:val="center"/>
        <w:rPr>
          <w:b/>
          <w:bCs/>
          <w:color w:val="auto"/>
          <w:sz w:val="32"/>
          <w:szCs w:val="32"/>
        </w:rPr>
      </w:pPr>
      <w:r>
        <w:rPr>
          <w:rFonts w:hint="eastAsia"/>
          <w:b/>
          <w:bCs/>
          <w:color w:val="auto"/>
          <w:sz w:val="32"/>
          <w:szCs w:val="32"/>
        </w:rPr>
        <w:t>（自拟）</w:t>
      </w:r>
    </w:p>
    <w:p>
      <w:pPr>
        <w:widowControl/>
        <w:spacing w:line="240" w:lineRule="auto"/>
        <w:jc w:val="left"/>
        <w:rPr>
          <w:rFonts w:ascii="仿宋" w:hAnsi="仿宋"/>
          <w:b/>
          <w:color w:val="auto"/>
          <w:sz w:val="32"/>
          <w:szCs w:val="32"/>
        </w:rPr>
      </w:pPr>
      <w:r>
        <w:rPr>
          <w:rFonts w:ascii="仿宋" w:hAnsi="仿宋"/>
          <w:b/>
          <w:color w:val="auto"/>
          <w:sz w:val="32"/>
          <w:szCs w:val="32"/>
        </w:rPr>
        <w:br w:type="page"/>
      </w:r>
    </w:p>
    <w:p>
      <w:pPr>
        <w:widowControl/>
        <w:jc w:val="center"/>
        <w:outlineLvl w:val="1"/>
        <w:rPr>
          <w:rFonts w:ascii="仿宋" w:hAnsi="仿宋"/>
          <w:b/>
          <w:color w:val="auto"/>
          <w:sz w:val="32"/>
          <w:szCs w:val="32"/>
        </w:rPr>
      </w:pPr>
      <w:r>
        <w:rPr>
          <w:rFonts w:hint="eastAsia" w:ascii="仿宋" w:hAnsi="仿宋"/>
          <w:b/>
          <w:color w:val="auto"/>
          <w:sz w:val="32"/>
          <w:szCs w:val="32"/>
        </w:rPr>
        <w:t>一、法定代表人/单位负责人授权书</w:t>
      </w:r>
    </w:p>
    <w:p>
      <w:pPr>
        <w:rPr>
          <w:color w:val="auto"/>
        </w:rPr>
      </w:pPr>
    </w:p>
    <w:p>
      <w:pPr>
        <w:rPr>
          <w:color w:val="auto"/>
        </w:rPr>
      </w:pPr>
      <w:bookmarkStart w:id="93" w:name="_Toc217446084"/>
      <w:r>
        <w:rPr>
          <w:rFonts w:hint="eastAsia"/>
          <w:color w:val="auto"/>
        </w:rPr>
        <w:t>新华招标有限公司：</w:t>
      </w:r>
    </w:p>
    <w:p>
      <w:pPr>
        <w:ind w:firstLine="480" w:firstLineChars="200"/>
        <w:rPr>
          <w:color w:val="auto"/>
        </w:rPr>
      </w:pPr>
      <w:r>
        <w:rPr>
          <w:rFonts w:hint="eastAsia"/>
          <w:color w:val="auto"/>
        </w:rPr>
        <w:t>本授权声明： XXXX（供应商名称）XXXX（法定代表人/单位负责人姓名、职务）授权XXXX（被授权人姓名、职务）为我方 “XXXXXXXX” 项目（采购编号：XXXX，包号（如有） XXXX）询比采购活动的合法代表，以我方名义全权处理该项目询比采购的相关事宜。</w:t>
      </w:r>
    </w:p>
    <w:p>
      <w:pPr>
        <w:ind w:firstLine="480" w:firstLineChars="200"/>
        <w:rPr>
          <w:color w:val="auto"/>
        </w:rPr>
      </w:pPr>
      <w:r>
        <w:rPr>
          <w:rFonts w:hint="eastAsia"/>
          <w:color w:val="auto"/>
        </w:rPr>
        <w:t>特此声明。</w:t>
      </w:r>
    </w:p>
    <w:p>
      <w:pPr>
        <w:ind w:firstLine="482" w:firstLineChars="200"/>
        <w:rPr>
          <w:b/>
          <w:color w:val="auto"/>
        </w:rPr>
      </w:pPr>
      <w:r>
        <w:rPr>
          <w:rFonts w:hint="eastAsia" w:ascii="仿宋" w:hAnsi="仿宋"/>
          <w:b/>
          <w:color w:val="auto"/>
          <w:szCs w:val="21"/>
        </w:rPr>
        <w:t>附：法定代表人/单位负责人身份证明材料和授权代表身份证明材料。</w:t>
      </w:r>
    </w:p>
    <w:p>
      <w:pPr>
        <w:rPr>
          <w:color w:val="auto"/>
        </w:rPr>
      </w:pPr>
    </w:p>
    <w:p>
      <w:pPr>
        <w:ind w:firstLine="480" w:firstLineChars="200"/>
        <w:rPr>
          <w:color w:val="auto"/>
        </w:rPr>
      </w:pPr>
      <w:bookmarkStart w:id="94" w:name="_Toc19877064"/>
      <w:r>
        <w:rPr>
          <w:rFonts w:hint="eastAsia"/>
          <w:color w:val="auto"/>
        </w:rPr>
        <w:t>法定代表人/单位负责人签字或者加盖个人印章：</w:t>
      </w:r>
      <w:bookmarkEnd w:id="94"/>
    </w:p>
    <w:p>
      <w:pPr>
        <w:ind w:firstLine="480" w:firstLineChars="200"/>
        <w:rPr>
          <w:color w:val="auto"/>
        </w:rPr>
      </w:pPr>
      <w:bookmarkStart w:id="95" w:name="_Toc19877065"/>
      <w:r>
        <w:rPr>
          <w:rFonts w:hint="eastAsia"/>
          <w:color w:val="auto"/>
        </w:rPr>
        <w:t>授权代表签字或者加盖个人印章：</w:t>
      </w:r>
      <w:bookmarkEnd w:id="95"/>
    </w:p>
    <w:p>
      <w:pPr>
        <w:ind w:firstLine="480" w:firstLineChars="200"/>
        <w:rPr>
          <w:color w:val="auto"/>
        </w:rPr>
      </w:pPr>
      <w:bookmarkStart w:id="96" w:name="_Toc19877066"/>
      <w:r>
        <w:rPr>
          <w:rFonts w:hint="eastAsia"/>
          <w:color w:val="auto"/>
        </w:rPr>
        <w:t>供应商名称：（单位盖章）</w:t>
      </w:r>
      <w:bookmarkEnd w:id="96"/>
    </w:p>
    <w:p>
      <w:pPr>
        <w:ind w:firstLine="480" w:firstLineChars="200"/>
        <w:rPr>
          <w:color w:val="auto"/>
        </w:rPr>
      </w:pPr>
      <w:bookmarkStart w:id="97" w:name="_Toc19877067"/>
      <w:r>
        <w:rPr>
          <w:rFonts w:hint="eastAsia"/>
          <w:color w:val="auto"/>
        </w:rPr>
        <w:t>日期：</w:t>
      </w:r>
      <w:bookmarkEnd w:id="97"/>
    </w:p>
    <w:p>
      <w:pPr>
        <w:rPr>
          <w:color w:val="auto"/>
        </w:rPr>
      </w:pPr>
    </w:p>
    <w:p>
      <w:pPr>
        <w:rPr>
          <w:color w:val="auto"/>
        </w:rPr>
      </w:pPr>
    </w:p>
    <w:p>
      <w:pPr>
        <w:rPr>
          <w:color w:val="auto"/>
        </w:rPr>
      </w:pPr>
    </w:p>
    <w:p>
      <w:pPr>
        <w:rPr>
          <w:rFonts w:ascii="仿宋" w:hAnsi="仿宋"/>
          <w:b/>
          <w:color w:val="auto"/>
          <w:szCs w:val="21"/>
        </w:rPr>
      </w:pPr>
    </w:p>
    <w:p>
      <w:pPr>
        <w:ind w:firstLine="480" w:firstLineChars="200"/>
        <w:rPr>
          <w:rFonts w:ascii="仿宋" w:hAnsi="仿宋"/>
          <w:color w:val="auto"/>
          <w:szCs w:val="21"/>
        </w:rPr>
      </w:pPr>
      <w:r>
        <w:rPr>
          <w:rFonts w:hint="eastAsia" w:ascii="仿宋" w:hAnsi="仿宋"/>
          <w:color w:val="auto"/>
          <w:szCs w:val="21"/>
        </w:rPr>
        <w:t>注：1、供应商委托授权代表参与采购活动时，需按以上要求提交相关资料，如是供应商单位法定代表人（适用供应商为法人单位的）/单位负责人（适用供应商为非法人单位的）亲自参加采购活动的，则仅需附法定代表人/单位负责人身份证明材料即可。供应商为自然人的，提供身份证明材料即可。</w:t>
      </w:r>
    </w:p>
    <w:p>
      <w:pPr>
        <w:ind w:firstLine="480" w:firstLineChars="200"/>
        <w:rPr>
          <w:rFonts w:ascii="仿宋" w:hAnsi="仿宋"/>
          <w:color w:val="auto"/>
          <w:szCs w:val="21"/>
        </w:rPr>
      </w:pPr>
      <w:r>
        <w:rPr>
          <w:rFonts w:hint="eastAsia" w:ascii="仿宋" w:hAnsi="仿宋"/>
          <w:color w:val="auto"/>
          <w:szCs w:val="21"/>
        </w:rPr>
        <w:t>2、授权代表、自然人身份证明材料包括有效期内的护照（仅适用于外籍人士）或居民身份证或军官证。</w:t>
      </w:r>
    </w:p>
    <w:p>
      <w:pPr>
        <w:ind w:firstLine="480" w:firstLineChars="200"/>
        <w:rPr>
          <w:rFonts w:ascii="仿宋" w:hAnsi="仿宋"/>
          <w:color w:val="auto"/>
          <w:szCs w:val="21"/>
        </w:rPr>
      </w:pPr>
      <w:r>
        <w:rPr>
          <w:rFonts w:hint="eastAsia" w:ascii="仿宋" w:hAnsi="仿宋"/>
          <w:color w:val="auto"/>
          <w:szCs w:val="21"/>
        </w:rPr>
        <w:t>3、法定代表人/单位负责人身份证明材料包括有效期内的护照（仅适用于外籍人士）或居民身份证或军官证，或法定代表人/单位负责人身份证明书（格式见附件，也可由供应商自拟格式）。</w:t>
      </w:r>
    </w:p>
    <w:p>
      <w:pPr>
        <w:ind w:left="843" w:hanging="843" w:hangingChars="350"/>
        <w:jc w:val="left"/>
        <w:rPr>
          <w:rFonts w:ascii="仿宋" w:hAnsi="仿宋"/>
          <w:b/>
          <w:color w:val="auto"/>
        </w:rPr>
      </w:pPr>
    </w:p>
    <w:p>
      <w:pPr>
        <w:ind w:left="843" w:hanging="843" w:hangingChars="350"/>
        <w:jc w:val="left"/>
        <w:rPr>
          <w:rFonts w:ascii="仿宋" w:hAnsi="仿宋"/>
          <w:b/>
          <w:color w:val="auto"/>
        </w:rPr>
      </w:pPr>
    </w:p>
    <w:p>
      <w:pPr>
        <w:widowControl/>
        <w:spacing w:line="240" w:lineRule="auto"/>
        <w:jc w:val="left"/>
        <w:rPr>
          <w:rFonts w:ascii="仿宋" w:hAnsi="仿宋"/>
          <w:b/>
          <w:color w:val="auto"/>
        </w:rPr>
      </w:pPr>
      <w:r>
        <w:rPr>
          <w:rFonts w:ascii="仿宋" w:hAnsi="仿宋"/>
          <w:b/>
          <w:color w:val="auto"/>
        </w:rPr>
        <w:br w:type="page"/>
      </w:r>
    </w:p>
    <w:p>
      <w:pPr>
        <w:ind w:left="843" w:hanging="843" w:hangingChars="350"/>
        <w:jc w:val="left"/>
        <w:rPr>
          <w:rFonts w:ascii="仿宋" w:hAnsi="仿宋"/>
          <w:b/>
          <w:color w:val="auto"/>
        </w:rPr>
      </w:pPr>
      <w:r>
        <w:rPr>
          <w:rFonts w:hint="eastAsia" w:ascii="仿宋" w:hAnsi="仿宋"/>
          <w:b/>
          <w:color w:val="auto"/>
        </w:rPr>
        <w:t>附：</w:t>
      </w:r>
    </w:p>
    <w:p>
      <w:pPr>
        <w:jc w:val="center"/>
        <w:rPr>
          <w:rFonts w:ascii="仿宋" w:hAnsi="仿宋"/>
          <w:b/>
          <w:color w:val="auto"/>
          <w:sz w:val="28"/>
          <w:szCs w:val="28"/>
        </w:rPr>
      </w:pPr>
      <w:r>
        <w:rPr>
          <w:rFonts w:ascii="仿宋" w:hAnsi="仿宋"/>
          <w:b/>
          <w:color w:val="auto"/>
          <w:sz w:val="28"/>
          <w:szCs w:val="28"/>
        </w:rPr>
        <w:t>法定代表人</w:t>
      </w:r>
      <w:r>
        <w:rPr>
          <w:rFonts w:hint="eastAsia" w:ascii="仿宋" w:hAnsi="仿宋"/>
          <w:b/>
          <w:color w:val="auto"/>
          <w:sz w:val="28"/>
          <w:szCs w:val="28"/>
        </w:rPr>
        <w:t>/</w:t>
      </w:r>
      <w:r>
        <w:rPr>
          <w:rFonts w:ascii="仿宋" w:hAnsi="仿宋"/>
          <w:b/>
          <w:color w:val="auto"/>
          <w:sz w:val="28"/>
          <w:szCs w:val="28"/>
        </w:rPr>
        <w:t>单位负责人身份证明</w:t>
      </w:r>
      <w:r>
        <w:rPr>
          <w:rFonts w:hint="eastAsia" w:ascii="仿宋" w:hAnsi="仿宋"/>
          <w:b/>
          <w:color w:val="auto"/>
          <w:sz w:val="28"/>
          <w:szCs w:val="28"/>
        </w:rPr>
        <w:t>书</w:t>
      </w:r>
    </w:p>
    <w:p>
      <w:pPr>
        <w:rPr>
          <w:rFonts w:ascii="仿宋" w:hAnsi="仿宋"/>
          <w:color w:val="auto"/>
        </w:rPr>
      </w:pPr>
      <w:r>
        <w:rPr>
          <w:rFonts w:hint="eastAsia" w:ascii="仿宋" w:hAnsi="仿宋"/>
          <w:color w:val="auto"/>
        </w:rPr>
        <w:t>供应商名称：___________________</w:t>
      </w:r>
    </w:p>
    <w:p>
      <w:pPr>
        <w:rPr>
          <w:rFonts w:ascii="仿宋" w:hAnsi="仿宋"/>
          <w:color w:val="auto"/>
        </w:rPr>
      </w:pPr>
      <w:r>
        <w:rPr>
          <w:rFonts w:hint="eastAsia" w:ascii="仿宋" w:hAnsi="仿宋"/>
          <w:color w:val="auto"/>
        </w:rPr>
        <w:t>单位性质：_____________________</w:t>
      </w:r>
    </w:p>
    <w:p>
      <w:pPr>
        <w:rPr>
          <w:rFonts w:ascii="仿宋" w:hAnsi="仿宋"/>
          <w:color w:val="auto"/>
        </w:rPr>
      </w:pPr>
      <w:r>
        <w:rPr>
          <w:rFonts w:hint="eastAsia" w:ascii="仿宋" w:hAnsi="仿宋"/>
          <w:color w:val="auto"/>
        </w:rPr>
        <w:t>地址：_________________________</w:t>
      </w:r>
    </w:p>
    <w:p>
      <w:pPr>
        <w:rPr>
          <w:rFonts w:ascii="仿宋" w:hAnsi="仿宋"/>
          <w:color w:val="auto"/>
        </w:rPr>
      </w:pPr>
      <w:r>
        <w:rPr>
          <w:rFonts w:hint="eastAsia" w:ascii="仿宋" w:hAnsi="仿宋"/>
          <w:color w:val="auto"/>
        </w:rPr>
        <w:t>成立时间：________年_______月</w:t>
      </w:r>
      <w:r>
        <w:rPr>
          <w:rFonts w:hint="eastAsia" w:ascii="仿宋" w:hAnsi="仿宋"/>
          <w:color w:val="auto"/>
          <w:u w:val="single"/>
        </w:rPr>
        <w:t>____</w:t>
      </w:r>
      <w:r>
        <w:rPr>
          <w:rFonts w:hint="eastAsia" w:ascii="仿宋" w:hAnsi="仿宋"/>
          <w:color w:val="auto"/>
        </w:rPr>
        <w:t xml:space="preserve">日 </w:t>
      </w:r>
    </w:p>
    <w:p>
      <w:pPr>
        <w:rPr>
          <w:rFonts w:ascii="仿宋" w:hAnsi="仿宋"/>
          <w:color w:val="auto"/>
        </w:rPr>
      </w:pPr>
      <w:r>
        <w:rPr>
          <w:rFonts w:hint="eastAsia" w:ascii="仿宋" w:hAnsi="仿宋"/>
          <w:color w:val="auto"/>
        </w:rPr>
        <w:t>经营期限：</w:t>
      </w:r>
      <w:r>
        <w:rPr>
          <w:rFonts w:hint="eastAsia" w:ascii="仿宋" w:hAnsi="仿宋"/>
          <w:color w:val="auto"/>
          <w:u w:val="single"/>
        </w:rPr>
        <w:t xml:space="preserve">____________________________ </w:t>
      </w:r>
    </w:p>
    <w:p>
      <w:pPr>
        <w:rPr>
          <w:rFonts w:ascii="仿宋" w:hAnsi="仿宋"/>
          <w:color w:val="auto"/>
        </w:rPr>
      </w:pPr>
      <w:r>
        <w:rPr>
          <w:rFonts w:hint="eastAsia" w:ascii="仿宋" w:hAnsi="仿宋"/>
          <w:color w:val="auto"/>
        </w:rPr>
        <w:t>姓名：</w:t>
      </w:r>
      <w:r>
        <w:rPr>
          <w:rFonts w:hint="eastAsia" w:ascii="仿宋" w:hAnsi="仿宋"/>
          <w:color w:val="auto"/>
          <w:u w:val="single"/>
        </w:rPr>
        <w:t xml:space="preserve">      </w:t>
      </w:r>
      <w:r>
        <w:rPr>
          <w:rFonts w:hint="eastAsia" w:ascii="仿宋" w:hAnsi="仿宋"/>
          <w:color w:val="auto"/>
        </w:rPr>
        <w:t>系</w:t>
      </w:r>
      <w:r>
        <w:rPr>
          <w:rFonts w:hint="eastAsia" w:ascii="仿宋" w:hAnsi="仿宋"/>
          <w:color w:val="auto"/>
          <w:u w:val="single"/>
        </w:rPr>
        <w:t>_____________</w:t>
      </w:r>
      <w:r>
        <w:rPr>
          <w:rFonts w:hint="eastAsia" w:ascii="仿宋" w:hAnsi="仿宋"/>
          <w:color w:val="auto"/>
        </w:rPr>
        <w:t xml:space="preserve"> (供应商名称)的法定代表人/单位负责人)(职务：</w:t>
      </w:r>
      <w:r>
        <w:rPr>
          <w:rFonts w:hint="eastAsia" w:ascii="仿宋" w:hAnsi="仿宋"/>
          <w:color w:val="auto"/>
          <w:u w:val="single"/>
        </w:rPr>
        <w:t xml:space="preserve">    </w:t>
      </w:r>
      <w:r>
        <w:rPr>
          <w:rFonts w:hint="eastAsia" w:ascii="仿宋" w:hAnsi="仿宋"/>
          <w:color w:val="auto"/>
        </w:rPr>
        <w:t>电话：</w:t>
      </w:r>
      <w:r>
        <w:rPr>
          <w:rFonts w:hint="eastAsia" w:ascii="仿宋" w:hAnsi="仿宋"/>
          <w:color w:val="auto"/>
          <w:u w:val="single"/>
        </w:rPr>
        <w:t xml:space="preserve">     </w:t>
      </w:r>
      <w:r>
        <w:rPr>
          <w:rFonts w:hint="eastAsia" w:ascii="仿宋" w:hAnsi="仿宋"/>
          <w:color w:val="auto"/>
        </w:rPr>
        <w:t xml:space="preserve">)。 </w:t>
      </w:r>
    </w:p>
    <w:p>
      <w:pPr>
        <w:ind w:firstLine="1440" w:firstLineChars="600"/>
        <w:rPr>
          <w:rFonts w:ascii="仿宋" w:hAnsi="仿宋"/>
          <w:color w:val="auto"/>
        </w:rPr>
      </w:pPr>
      <w:r>
        <w:rPr>
          <w:rFonts w:hint="eastAsia" w:ascii="仿宋" w:hAnsi="仿宋"/>
          <w:color w:val="auto"/>
        </w:rPr>
        <w:t>特此证明。</w:t>
      </w:r>
    </w:p>
    <w:p>
      <w:pPr>
        <w:ind w:firstLine="3960" w:firstLineChars="1650"/>
        <w:rPr>
          <w:rFonts w:ascii="仿宋" w:hAnsi="仿宋"/>
          <w:color w:val="auto"/>
        </w:rPr>
      </w:pPr>
      <w:r>
        <w:rPr>
          <w:rFonts w:hint="eastAsia" w:ascii="仿宋" w:hAnsi="仿宋"/>
          <w:color w:val="auto"/>
        </w:rPr>
        <w:t>供应商：(盖章)</w:t>
      </w:r>
    </w:p>
    <w:p>
      <w:pPr>
        <w:ind w:firstLine="480" w:firstLineChars="200"/>
        <w:rPr>
          <w:rFonts w:ascii="仿宋" w:hAnsi="仿宋"/>
          <w:color w:val="auto"/>
        </w:rPr>
      </w:pPr>
      <w:r>
        <w:rPr>
          <w:rFonts w:hint="eastAsia" w:ascii="仿宋" w:hAnsi="仿宋"/>
          <w:color w:val="auto"/>
        </w:rPr>
        <w:t xml:space="preserve">                               年  月   日</w:t>
      </w:r>
    </w:p>
    <w:bookmarkEnd w:id="93"/>
    <w:p>
      <w:pPr>
        <w:widowControl/>
        <w:spacing w:line="240" w:lineRule="auto"/>
        <w:jc w:val="left"/>
        <w:rPr>
          <w:rFonts w:ascii="仿宋" w:hAnsi="仿宋"/>
          <w:b/>
          <w:color w:val="auto"/>
          <w:sz w:val="32"/>
          <w:szCs w:val="32"/>
        </w:rPr>
      </w:pPr>
      <w:r>
        <w:rPr>
          <w:rFonts w:ascii="仿宋" w:hAnsi="仿宋"/>
          <w:b/>
          <w:color w:val="auto"/>
          <w:sz w:val="32"/>
          <w:szCs w:val="32"/>
        </w:rPr>
        <w:br w:type="page"/>
      </w:r>
    </w:p>
    <w:p>
      <w:pPr>
        <w:widowControl/>
        <w:jc w:val="center"/>
        <w:outlineLvl w:val="1"/>
        <w:rPr>
          <w:rFonts w:ascii="仿宋" w:hAnsi="仿宋"/>
          <w:b/>
          <w:color w:val="auto"/>
          <w:sz w:val="32"/>
          <w:szCs w:val="32"/>
        </w:rPr>
      </w:pPr>
      <w:r>
        <w:rPr>
          <w:rFonts w:hint="eastAsia" w:ascii="仿宋" w:hAnsi="仿宋"/>
          <w:b/>
          <w:color w:val="auto"/>
          <w:sz w:val="32"/>
          <w:szCs w:val="32"/>
        </w:rPr>
        <w:t>二、承诺函</w:t>
      </w:r>
    </w:p>
    <w:p>
      <w:pPr>
        <w:rPr>
          <w:color w:val="auto"/>
        </w:rPr>
      </w:pPr>
      <w:r>
        <w:rPr>
          <w:rFonts w:hint="eastAsia"/>
          <w:color w:val="auto"/>
        </w:rPr>
        <w:t>新华招标有限公司：</w:t>
      </w:r>
    </w:p>
    <w:p>
      <w:pPr>
        <w:ind w:firstLine="480" w:firstLineChars="200"/>
        <w:rPr>
          <w:color w:val="auto"/>
        </w:rPr>
      </w:pPr>
      <w:r>
        <w:rPr>
          <w:rFonts w:hint="eastAsia"/>
          <w:color w:val="auto"/>
        </w:rPr>
        <w:t>我单位作为本次采购项目的供应商，根据询比文件要求，现郑重承诺如下：</w:t>
      </w:r>
    </w:p>
    <w:p>
      <w:pPr>
        <w:ind w:firstLine="424" w:firstLineChars="177"/>
        <w:rPr>
          <w:color w:val="auto"/>
        </w:rPr>
      </w:pPr>
      <w:bookmarkStart w:id="98" w:name="_Toc29330597"/>
      <w:r>
        <w:rPr>
          <w:rFonts w:hint="eastAsia" w:cs="仿宋"/>
          <w:color w:val="auto"/>
          <w:lang w:bidi="ar"/>
        </w:rPr>
        <w:t>（一）具有独立承担民事责任的能力；</w:t>
      </w:r>
      <w:bookmarkEnd w:id="98"/>
    </w:p>
    <w:p>
      <w:pPr>
        <w:ind w:firstLine="424" w:firstLineChars="177"/>
        <w:rPr>
          <w:color w:val="auto"/>
        </w:rPr>
      </w:pPr>
      <w:bookmarkStart w:id="99" w:name="_Toc29330598"/>
      <w:r>
        <w:rPr>
          <w:rFonts w:hint="eastAsia" w:cs="仿宋"/>
          <w:color w:val="auto"/>
          <w:lang w:bidi="ar"/>
        </w:rPr>
        <w:t>（二）具有良好的商业信誉和健全的财务会计制度；</w:t>
      </w:r>
      <w:bookmarkEnd w:id="99"/>
    </w:p>
    <w:p>
      <w:pPr>
        <w:ind w:firstLine="424" w:firstLineChars="177"/>
        <w:rPr>
          <w:color w:val="auto"/>
        </w:rPr>
      </w:pPr>
      <w:bookmarkStart w:id="100" w:name="_Toc29330599"/>
      <w:r>
        <w:rPr>
          <w:rFonts w:hint="eastAsia" w:cs="仿宋"/>
          <w:color w:val="auto"/>
          <w:lang w:bidi="ar"/>
        </w:rPr>
        <w:t>（三）具有履行合同所必需的设备和专业技术能力；</w:t>
      </w:r>
      <w:bookmarkEnd w:id="100"/>
    </w:p>
    <w:p>
      <w:pPr>
        <w:ind w:firstLine="424" w:firstLineChars="177"/>
        <w:rPr>
          <w:color w:val="auto"/>
        </w:rPr>
      </w:pPr>
      <w:bookmarkStart w:id="101" w:name="_Toc29330600"/>
      <w:r>
        <w:rPr>
          <w:rFonts w:hint="eastAsia" w:cs="仿宋"/>
          <w:color w:val="auto"/>
          <w:lang w:bidi="ar"/>
        </w:rPr>
        <w:t>（四）有依法缴纳税收和社会保障资金的良好记录；</w:t>
      </w:r>
      <w:bookmarkEnd w:id="101"/>
    </w:p>
    <w:p>
      <w:pPr>
        <w:ind w:firstLine="424" w:firstLineChars="177"/>
        <w:rPr>
          <w:color w:val="auto"/>
        </w:rPr>
      </w:pPr>
      <w:bookmarkStart w:id="102" w:name="_Toc29330601"/>
      <w:r>
        <w:rPr>
          <w:rFonts w:hint="eastAsia" w:cs="仿宋"/>
          <w:color w:val="auto"/>
          <w:lang w:bidi="ar"/>
        </w:rPr>
        <w:t>（五）参加采购活动前三年内，在经营活动中没有重大违法记录；</w:t>
      </w:r>
      <w:bookmarkEnd w:id="102"/>
    </w:p>
    <w:p>
      <w:pPr>
        <w:ind w:firstLine="424" w:firstLineChars="177"/>
        <w:rPr>
          <w:color w:val="auto"/>
        </w:rPr>
      </w:pPr>
      <w:bookmarkStart w:id="103" w:name="_Toc29330602"/>
      <w:r>
        <w:rPr>
          <w:rFonts w:hint="eastAsia" w:cs="仿宋"/>
          <w:color w:val="auto"/>
          <w:lang w:bidi="ar"/>
        </w:rPr>
        <w:t>（六）满足法律、行政法规规定的其他条件；</w:t>
      </w:r>
      <w:bookmarkEnd w:id="103"/>
    </w:p>
    <w:p>
      <w:pPr>
        <w:ind w:firstLine="424" w:firstLineChars="177"/>
        <w:rPr>
          <w:color w:val="auto"/>
        </w:rPr>
      </w:pPr>
      <w:bookmarkStart w:id="104" w:name="_Toc29330603"/>
      <w:r>
        <w:rPr>
          <w:rFonts w:hint="eastAsia" w:cs="仿宋"/>
          <w:color w:val="auto"/>
          <w:lang w:bidi="ar"/>
        </w:rPr>
        <w:t>（七）我单位及其现任法定代表人、主要负责人没有行贿犯罪记录；</w:t>
      </w:r>
      <w:bookmarkEnd w:id="104"/>
    </w:p>
    <w:p>
      <w:pPr>
        <w:ind w:firstLine="424" w:firstLineChars="177"/>
        <w:rPr>
          <w:color w:val="auto"/>
        </w:rPr>
      </w:pPr>
      <w:bookmarkStart w:id="105" w:name="_Toc29330605"/>
      <w:bookmarkStart w:id="106" w:name="_Toc29330606"/>
      <w:r>
        <w:rPr>
          <w:rFonts w:hint="eastAsia" w:cs="仿宋"/>
          <w:color w:val="auto"/>
          <w:lang w:bidi="ar"/>
        </w:rPr>
        <w:t>（八）</w:t>
      </w:r>
      <w:r>
        <w:rPr>
          <w:rFonts w:hint="eastAsia" w:ascii="仿宋" w:hAnsi="仿宋" w:cs="宋体"/>
          <w:color w:val="auto"/>
          <w:kern w:val="0"/>
        </w:rPr>
        <w:t>截至</w:t>
      </w:r>
      <w:r>
        <w:rPr>
          <w:rFonts w:hint="eastAsia" w:ascii="仿宋" w:hAnsi="仿宋"/>
          <w:color w:val="auto"/>
        </w:rPr>
        <w:t>本项目提交响应文件截止时间</w:t>
      </w:r>
      <w:r>
        <w:rPr>
          <w:rFonts w:hint="eastAsia" w:ascii="仿宋" w:hAnsi="仿宋" w:cs="宋体"/>
          <w:color w:val="auto"/>
          <w:kern w:val="0"/>
        </w:rPr>
        <w:t>，我单位</w:t>
      </w:r>
      <w:r>
        <w:rPr>
          <w:rFonts w:hint="eastAsia" w:ascii="仿宋" w:hAnsi="仿宋"/>
          <w:color w:val="auto"/>
        </w:rPr>
        <w:t>未被“信用中国”网站（www.creditchina.gov.cn）、“中国政府采购网”网站（www.ccgp.gov.cn）列入失信被执行人、税收违法黑名单、政府采购严重违法失信行为记录名单</w:t>
      </w:r>
      <w:r>
        <w:rPr>
          <w:rFonts w:hint="eastAsia" w:cs="仿宋"/>
          <w:color w:val="auto"/>
          <w:lang w:bidi="ar"/>
        </w:rPr>
        <w:t>。</w:t>
      </w:r>
      <w:bookmarkEnd w:id="105"/>
    </w:p>
    <w:p>
      <w:pPr>
        <w:ind w:firstLine="424" w:firstLineChars="177"/>
        <w:rPr>
          <w:color w:val="auto"/>
        </w:rPr>
      </w:pPr>
      <w:r>
        <w:rPr>
          <w:rFonts w:hint="eastAsia" w:cs="仿宋"/>
          <w:color w:val="auto"/>
          <w:lang w:bidi="ar"/>
        </w:rPr>
        <w:t>（九）</w:t>
      </w:r>
      <w:bookmarkEnd w:id="106"/>
      <w:bookmarkStart w:id="107" w:name="_Toc29330607"/>
      <w:r>
        <w:rPr>
          <w:rFonts w:hint="eastAsia" w:cs="仿宋"/>
          <w:color w:val="auto"/>
          <w:lang w:bidi="ar"/>
        </w:rPr>
        <w:t>完全接受和满足本项目询比文件中规定的实质性要求，如对询比文件有异议，已经在递交响应文件截止时间届满前依法进行维权救济，不存在对询比文件有异议的同时又参加询比以求侥幸成交或者为实现其他非法目的的行为。</w:t>
      </w:r>
    </w:p>
    <w:p>
      <w:pPr>
        <w:ind w:firstLine="424" w:firstLineChars="177"/>
        <w:rPr>
          <w:color w:val="auto"/>
        </w:rPr>
      </w:pPr>
      <w:r>
        <w:rPr>
          <w:rFonts w:hint="eastAsia" w:cs="仿宋"/>
          <w:color w:val="auto"/>
          <w:lang w:bidi="ar"/>
        </w:rPr>
        <w:t>（十）在参加本次采购活动中，不存在与单位负责人为同一人或者存在直接控股、管理关系的其他供应商参与同一合同项下的采购活动的行为。</w:t>
      </w:r>
      <w:bookmarkEnd w:id="107"/>
    </w:p>
    <w:p>
      <w:pPr>
        <w:ind w:firstLine="424" w:firstLineChars="177"/>
        <w:rPr>
          <w:color w:val="auto"/>
        </w:rPr>
      </w:pPr>
      <w:bookmarkStart w:id="108" w:name="_Toc29330608"/>
      <w:r>
        <w:rPr>
          <w:rFonts w:hint="eastAsia" w:cs="仿宋"/>
          <w:color w:val="auto"/>
          <w:lang w:bidi="ar"/>
        </w:rPr>
        <w:t>（十一）在参加本次采购活动中，不存在和其他供应商在同一合同项下的采购项目中，同时委托同一个自然人、同一家庭的人员、同一单位的人员作为代理人的行为。</w:t>
      </w:r>
      <w:bookmarkEnd w:id="108"/>
    </w:p>
    <w:p>
      <w:pPr>
        <w:ind w:firstLine="424" w:firstLineChars="177"/>
        <w:rPr>
          <w:color w:val="auto"/>
        </w:rPr>
      </w:pPr>
      <w:bookmarkStart w:id="109" w:name="_Toc29330609"/>
      <w:r>
        <w:rPr>
          <w:rFonts w:hint="eastAsia" w:cs="仿宋"/>
          <w:color w:val="auto"/>
          <w:lang w:bidi="ar"/>
        </w:rPr>
        <w:t>（十二）我单位与采购代理机构没有关联关系，不是采购代理机构的母公司或子公司。</w:t>
      </w:r>
      <w:bookmarkEnd w:id="109"/>
      <w:r>
        <w:rPr>
          <w:rFonts w:hint="eastAsia" w:cs="仿宋"/>
          <w:color w:val="auto"/>
          <w:lang w:bidi="ar"/>
        </w:rPr>
        <w:t>我单位实际控制人或者中高级管理人员，不是采购代理机构工作人员。</w:t>
      </w:r>
    </w:p>
    <w:p>
      <w:pPr>
        <w:ind w:firstLine="424" w:firstLineChars="177"/>
        <w:rPr>
          <w:color w:val="auto"/>
        </w:rPr>
      </w:pPr>
      <w:bookmarkStart w:id="110" w:name="_Toc29330610"/>
      <w:r>
        <w:rPr>
          <w:rFonts w:hint="eastAsia" w:cs="仿宋"/>
          <w:color w:val="auto"/>
          <w:lang w:bidi="ar"/>
        </w:rPr>
        <w:t>（十三）响应文件中提供的任何资料和技术、服务、商务等响应承诺情况都是真实的、有效的、合法的。</w:t>
      </w:r>
      <w:bookmarkEnd w:id="110"/>
    </w:p>
    <w:p>
      <w:pPr>
        <w:ind w:firstLine="480" w:firstLineChars="200"/>
        <w:rPr>
          <w:rFonts w:ascii="仿宋" w:hAnsi="仿宋" w:cs="仿宋"/>
          <w:color w:val="auto"/>
        </w:rPr>
      </w:pPr>
      <w:r>
        <w:rPr>
          <w:rFonts w:hint="eastAsia" w:cs="仿宋"/>
          <w:color w:val="auto"/>
          <w:lang w:bidi="ar"/>
        </w:rPr>
        <w:t>（十四）</w:t>
      </w:r>
      <w:r>
        <w:rPr>
          <w:rFonts w:hint="eastAsia" w:ascii="仿宋" w:hAnsi="仿宋" w:cs="仿宋"/>
          <w:color w:val="auto"/>
          <w:lang w:bidi="ar"/>
        </w:rPr>
        <w:t>如本项目询比采购过程中需要提供样品，则我公司提供的样品即为成交后将要提供的成交产品，我公司对提供样品的性能和质量负责，因样品存在缺陷或者不符合询比文件要求导致未能成交的，我公司愿意承担相应不利后果。</w:t>
      </w:r>
    </w:p>
    <w:p>
      <w:pPr>
        <w:ind w:firstLine="424" w:firstLineChars="177"/>
        <w:rPr>
          <w:color w:val="auto"/>
        </w:rPr>
      </w:pPr>
      <w:bookmarkStart w:id="111" w:name="_Toc29330611"/>
      <w:r>
        <w:rPr>
          <w:rFonts w:hint="eastAsia" w:cs="仿宋"/>
          <w:color w:val="auto"/>
          <w:lang w:bidi="ar"/>
        </w:rPr>
        <w:t>（十五）我方承诺，我方及我方所提供的产品符合国家或行业主管部门的技术标准、质量标准和资格资质条件等强制性规定。</w:t>
      </w:r>
    </w:p>
    <w:p>
      <w:pPr>
        <w:ind w:firstLine="424" w:firstLineChars="177"/>
        <w:rPr>
          <w:color w:val="auto"/>
        </w:rPr>
      </w:pPr>
      <w:r>
        <w:rPr>
          <w:rFonts w:hint="eastAsia" w:cs="仿宋"/>
          <w:color w:val="auto"/>
          <w:lang w:bidi="ar"/>
        </w:rPr>
        <w:t>（十六）我方保证在本项目使用的任何产品和服务（包括部分使用），不会产生因第三方提出侵犯其专利权、商标权或其它知识产权而引起的法律和经济纠纷，如因专利权、商标权或其它知识产权而引起法律和经济纠纷，由我方承担所有相关责任。除询比文件另有规定外，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pPr>
        <w:ind w:firstLine="424" w:firstLineChars="177"/>
        <w:rPr>
          <w:color w:val="auto"/>
        </w:rPr>
      </w:pPr>
      <w:r>
        <w:rPr>
          <w:rFonts w:hint="eastAsia" w:cs="仿宋"/>
          <w:color w:val="auto"/>
          <w:lang w:bidi="ar"/>
        </w:rPr>
        <w:t>本单位对上述承诺的内容事项真实性负责。如经查实上述承诺的内容事项存在虚假，我单位愿意接受以提供虚假材料谋取成交追究法律责任。</w:t>
      </w:r>
      <w:bookmarkEnd w:id="111"/>
    </w:p>
    <w:p>
      <w:pPr>
        <w:ind w:firstLine="424" w:firstLineChars="177"/>
        <w:rPr>
          <w:color w:val="auto"/>
        </w:rPr>
      </w:pPr>
    </w:p>
    <w:p>
      <w:pPr>
        <w:ind w:firstLine="424" w:firstLineChars="177"/>
        <w:rPr>
          <w:color w:val="auto"/>
        </w:rPr>
      </w:pPr>
    </w:p>
    <w:p>
      <w:pPr>
        <w:ind w:firstLine="424" w:firstLineChars="177"/>
        <w:rPr>
          <w:color w:val="auto"/>
        </w:rPr>
      </w:pPr>
    </w:p>
    <w:p>
      <w:pPr>
        <w:ind w:firstLine="424" w:firstLineChars="177"/>
        <w:rPr>
          <w:color w:val="auto"/>
        </w:rPr>
      </w:pPr>
      <w:bookmarkStart w:id="112" w:name="_Toc19877116"/>
      <w:r>
        <w:rPr>
          <w:rFonts w:hint="eastAsia"/>
          <w:color w:val="auto"/>
        </w:rPr>
        <w:t>供应商名称：</w:t>
      </w:r>
      <w:r>
        <w:rPr>
          <w:rFonts w:hint="eastAsia"/>
          <w:color w:val="auto"/>
          <w:u w:val="single"/>
        </w:rPr>
        <w:t xml:space="preserve">         </w:t>
      </w:r>
      <w:r>
        <w:rPr>
          <w:rFonts w:hint="eastAsia"/>
          <w:color w:val="auto"/>
        </w:rPr>
        <w:t>（单位公章）</w:t>
      </w:r>
      <w:bookmarkEnd w:id="112"/>
    </w:p>
    <w:p>
      <w:pPr>
        <w:ind w:firstLine="424" w:firstLineChars="177"/>
        <w:rPr>
          <w:color w:val="auto"/>
        </w:rPr>
      </w:pPr>
      <w:bookmarkStart w:id="113" w:name="_Toc19877117"/>
      <w:bookmarkStart w:id="114" w:name="_Toc513469407"/>
      <w:r>
        <w:rPr>
          <w:rFonts w:hint="eastAsia"/>
          <w:color w:val="auto"/>
        </w:rPr>
        <w:t>法定代表人/单位负责人或授权代表（签字或加盖个人印章）：</w:t>
      </w:r>
      <w:bookmarkEnd w:id="113"/>
      <w:bookmarkEnd w:id="114"/>
    </w:p>
    <w:p>
      <w:pPr>
        <w:ind w:firstLine="424" w:firstLineChars="177"/>
        <w:rPr>
          <w:color w:val="auto"/>
        </w:rPr>
      </w:pPr>
      <w:bookmarkStart w:id="115" w:name="_Toc19877118"/>
      <w:bookmarkStart w:id="116" w:name="_Toc513469408"/>
      <w:r>
        <w:rPr>
          <w:rFonts w:hint="eastAsia"/>
          <w:color w:val="auto"/>
        </w:rPr>
        <w:t>日期：</w:t>
      </w:r>
      <w:bookmarkEnd w:id="115"/>
      <w:bookmarkEnd w:id="116"/>
    </w:p>
    <w:p>
      <w:pPr>
        <w:rPr>
          <w:rFonts w:ascii="仿宋" w:hAnsi="仿宋"/>
          <w:b/>
          <w:color w:val="auto"/>
          <w:sz w:val="32"/>
          <w:szCs w:val="32"/>
        </w:rPr>
      </w:pPr>
      <w:r>
        <w:rPr>
          <w:rFonts w:hint="eastAsia" w:ascii="仿宋" w:hAnsi="仿宋"/>
          <w:color w:val="auto"/>
        </w:rPr>
        <w:br w:type="page"/>
      </w:r>
    </w:p>
    <w:p>
      <w:pPr>
        <w:widowControl/>
        <w:jc w:val="center"/>
        <w:outlineLvl w:val="1"/>
        <w:rPr>
          <w:rFonts w:ascii="仿宋" w:hAnsi="仿宋"/>
          <w:b/>
          <w:color w:val="auto"/>
          <w:sz w:val="32"/>
          <w:szCs w:val="32"/>
        </w:rPr>
      </w:pPr>
      <w:r>
        <w:rPr>
          <w:rFonts w:hint="eastAsia" w:ascii="仿宋" w:hAnsi="仿宋"/>
          <w:b/>
          <w:color w:val="auto"/>
          <w:sz w:val="32"/>
          <w:szCs w:val="32"/>
        </w:rPr>
        <w:t>三、供应商和报价产品的资格、资质性及其他类似效力要求的相关证明材料</w:t>
      </w:r>
    </w:p>
    <w:p>
      <w:pPr>
        <w:rPr>
          <w:color w:val="auto"/>
        </w:rPr>
      </w:pPr>
      <w:r>
        <w:rPr>
          <w:rFonts w:hint="eastAsia"/>
          <w:color w:val="auto"/>
        </w:rPr>
        <w:t>注：供应商应按询比文件第三章相关要求提供佐证材料，有格式要求的从其要求，无格式要求的格式自拟。</w:t>
      </w:r>
    </w:p>
    <w:p>
      <w:pPr>
        <w:rPr>
          <w:color w:val="auto"/>
        </w:rPr>
      </w:pPr>
      <w:r>
        <w:rPr>
          <w:rFonts w:hint="eastAsia"/>
          <w:color w:val="auto"/>
        </w:rPr>
        <w:t>如营业执照</w:t>
      </w:r>
    </w:p>
    <w:p>
      <w:pPr>
        <w:rPr>
          <w:color w:val="auto"/>
        </w:rPr>
      </w:pPr>
      <w:r>
        <w:rPr>
          <w:rFonts w:hint="eastAsia"/>
          <w:color w:val="auto"/>
        </w:rPr>
        <w:t>……</w:t>
      </w:r>
    </w:p>
    <w:p>
      <w:pPr>
        <w:widowControl/>
        <w:jc w:val="center"/>
        <w:outlineLvl w:val="1"/>
        <w:rPr>
          <w:rFonts w:ascii="仿宋" w:hAnsi="仿宋"/>
          <w:b/>
          <w:color w:val="auto"/>
          <w:sz w:val="32"/>
          <w:szCs w:val="32"/>
        </w:rPr>
      </w:pPr>
      <w:r>
        <w:rPr>
          <w:rFonts w:hint="eastAsia" w:ascii="仿宋" w:hAnsi="仿宋"/>
          <w:b/>
          <w:color w:val="auto"/>
          <w:sz w:val="32"/>
          <w:szCs w:val="32"/>
        </w:rPr>
        <w:br w:type="page"/>
      </w:r>
    </w:p>
    <w:p>
      <w:pPr>
        <w:widowControl/>
        <w:jc w:val="center"/>
        <w:outlineLvl w:val="1"/>
        <w:rPr>
          <w:rFonts w:ascii="仿宋" w:hAnsi="仿宋"/>
          <w:b/>
          <w:color w:val="auto"/>
          <w:sz w:val="32"/>
          <w:szCs w:val="32"/>
        </w:rPr>
      </w:pPr>
      <w:bookmarkStart w:id="117" w:name="_Toc308164824"/>
      <w:r>
        <w:rPr>
          <w:rFonts w:hint="eastAsia" w:ascii="仿宋" w:hAnsi="仿宋"/>
          <w:b/>
          <w:color w:val="auto"/>
          <w:sz w:val="32"/>
          <w:szCs w:val="32"/>
        </w:rPr>
        <w:t>四、 响应函</w:t>
      </w:r>
    </w:p>
    <w:p>
      <w:pPr>
        <w:rPr>
          <w:rFonts w:ascii="仿宋" w:hAnsi="仿宋"/>
          <w:color w:val="auto"/>
        </w:rPr>
      </w:pPr>
      <w:r>
        <w:rPr>
          <w:rFonts w:hint="eastAsia" w:ascii="仿宋" w:hAnsi="仿宋"/>
          <w:color w:val="auto"/>
        </w:rPr>
        <w:t>新华招标有限公司：</w:t>
      </w:r>
    </w:p>
    <w:p>
      <w:pPr>
        <w:ind w:firstLine="480" w:firstLineChars="200"/>
        <w:jc w:val="left"/>
        <w:rPr>
          <w:rFonts w:ascii="仿宋" w:hAnsi="仿宋"/>
          <w:color w:val="auto"/>
        </w:rPr>
      </w:pPr>
      <w:r>
        <w:rPr>
          <w:rFonts w:hint="eastAsia" w:ascii="仿宋" w:hAnsi="仿宋"/>
          <w:color w:val="auto"/>
        </w:rPr>
        <w:t>1.我方全面研究了“XXXXXX”项目询比文件</w:t>
      </w:r>
      <w:r>
        <w:rPr>
          <w:rFonts w:hint="eastAsia"/>
          <w:color w:val="auto"/>
        </w:rPr>
        <w:t>（采购编号：XXXX，包号（如有） XXXX）</w:t>
      </w:r>
      <w:r>
        <w:rPr>
          <w:rFonts w:hint="eastAsia" w:ascii="仿宋" w:hAnsi="仿宋"/>
          <w:color w:val="auto"/>
        </w:rPr>
        <w:t>，决定参加贵单位组织的本项目询比采购。</w:t>
      </w:r>
    </w:p>
    <w:p>
      <w:pPr>
        <w:ind w:firstLine="480" w:firstLineChars="200"/>
        <w:jc w:val="left"/>
        <w:rPr>
          <w:rFonts w:ascii="仿宋" w:hAnsi="仿宋"/>
          <w:color w:val="auto"/>
        </w:rPr>
      </w:pPr>
      <w:r>
        <w:rPr>
          <w:rFonts w:hint="eastAsia" w:ascii="仿宋" w:hAnsi="仿宋"/>
          <w:color w:val="auto"/>
        </w:rPr>
        <w:t>2.我方自愿按照询比文件规定的各项要求向采购人提供所需货物/服务。</w:t>
      </w:r>
    </w:p>
    <w:p>
      <w:pPr>
        <w:ind w:firstLine="480" w:firstLineChars="200"/>
        <w:jc w:val="left"/>
        <w:rPr>
          <w:rFonts w:ascii="仿宋" w:hAnsi="仿宋"/>
          <w:color w:val="auto"/>
        </w:rPr>
      </w:pPr>
      <w:r>
        <w:rPr>
          <w:rFonts w:hint="eastAsia" w:ascii="仿宋" w:hAnsi="仿宋"/>
          <w:color w:val="auto"/>
        </w:rPr>
        <w:t>3.一旦我方成交，我方将严格履行采购合同规定的责任和义务。</w:t>
      </w:r>
    </w:p>
    <w:p>
      <w:pPr>
        <w:ind w:firstLine="480" w:firstLineChars="200"/>
        <w:jc w:val="left"/>
        <w:rPr>
          <w:rFonts w:ascii="仿宋" w:hAnsi="仿宋"/>
          <w:color w:val="auto"/>
        </w:rPr>
      </w:pPr>
      <w:r>
        <w:rPr>
          <w:rFonts w:hint="eastAsia" w:ascii="仿宋" w:hAnsi="仿宋"/>
          <w:color w:val="auto"/>
        </w:rPr>
        <w:t>4.我方为本项目提交的响应文件正本1份，副本2份，用于询比报价。</w:t>
      </w:r>
    </w:p>
    <w:p>
      <w:pPr>
        <w:ind w:firstLine="480" w:firstLineChars="200"/>
        <w:jc w:val="left"/>
        <w:rPr>
          <w:rFonts w:ascii="仿宋" w:hAnsi="仿宋"/>
          <w:color w:val="auto"/>
        </w:rPr>
      </w:pPr>
      <w:r>
        <w:rPr>
          <w:rFonts w:hint="eastAsia" w:ascii="仿宋" w:hAnsi="仿宋"/>
          <w:color w:val="auto"/>
        </w:rPr>
        <w:t>5.我方愿意提供贵单位可能另外要求的，与询比报价有关的文件资料，并保证我方已提供和将要提供的文件资料是真实、准确的。</w:t>
      </w:r>
    </w:p>
    <w:p>
      <w:pPr>
        <w:ind w:firstLine="480" w:firstLineChars="200"/>
        <w:jc w:val="left"/>
        <w:rPr>
          <w:rFonts w:ascii="仿宋" w:hAnsi="仿宋"/>
          <w:color w:val="auto"/>
        </w:rPr>
      </w:pPr>
      <w:r>
        <w:rPr>
          <w:rFonts w:hint="eastAsia" w:ascii="仿宋" w:hAnsi="仿宋"/>
          <w:color w:val="auto"/>
        </w:rPr>
        <w:t>6.本次询比响应，我方递交的响应文件有效期为采购文件规定起算之日起90天。</w:t>
      </w:r>
    </w:p>
    <w:p>
      <w:pPr>
        <w:adjustRightInd w:val="0"/>
        <w:ind w:firstLine="480" w:firstLineChars="200"/>
        <w:jc w:val="left"/>
        <w:rPr>
          <w:rFonts w:ascii="仿宋" w:hAnsi="仿宋"/>
          <w:color w:val="auto"/>
        </w:rPr>
      </w:pPr>
    </w:p>
    <w:p>
      <w:pPr>
        <w:adjustRightInd w:val="0"/>
        <w:ind w:firstLine="480" w:firstLineChars="200"/>
        <w:jc w:val="left"/>
        <w:rPr>
          <w:rFonts w:ascii="仿宋" w:hAnsi="仿宋"/>
          <w:color w:val="auto"/>
        </w:rPr>
      </w:pPr>
    </w:p>
    <w:p>
      <w:pPr>
        <w:adjustRightInd w:val="0"/>
        <w:ind w:firstLine="480" w:firstLineChars="200"/>
        <w:jc w:val="left"/>
        <w:rPr>
          <w:rFonts w:ascii="仿宋" w:hAnsi="仿宋"/>
          <w:color w:val="auto"/>
        </w:rPr>
      </w:pPr>
      <w:r>
        <w:rPr>
          <w:rFonts w:hint="eastAsia" w:ascii="仿宋" w:hAnsi="仿宋"/>
          <w:color w:val="auto"/>
        </w:rPr>
        <w:t>供应商名称：XXX（盖单位公章）</w:t>
      </w:r>
    </w:p>
    <w:p>
      <w:pPr>
        <w:ind w:firstLine="470" w:firstLineChars="196"/>
        <w:rPr>
          <w:rFonts w:ascii="仿宋" w:hAnsi="仿宋"/>
          <w:color w:val="auto"/>
        </w:rPr>
      </w:pPr>
      <w:r>
        <w:rPr>
          <w:rFonts w:hint="eastAsia" w:ascii="仿宋" w:hAnsi="仿宋"/>
          <w:color w:val="auto"/>
        </w:rPr>
        <w:t>法定代表人/单位负责人或授权代表（签字或加盖个人印章）：XXX</w:t>
      </w:r>
    </w:p>
    <w:p>
      <w:pPr>
        <w:ind w:firstLine="470" w:firstLineChars="196"/>
        <w:rPr>
          <w:rFonts w:ascii="仿宋" w:hAnsi="仿宋"/>
          <w:color w:val="auto"/>
        </w:rPr>
      </w:pPr>
      <w:r>
        <w:rPr>
          <w:rFonts w:hint="eastAsia" w:ascii="仿宋" w:hAnsi="仿宋"/>
          <w:color w:val="auto"/>
        </w:rPr>
        <w:t>通讯地址：XXX</w:t>
      </w:r>
    </w:p>
    <w:p>
      <w:pPr>
        <w:ind w:firstLine="470" w:firstLineChars="196"/>
        <w:rPr>
          <w:rFonts w:ascii="仿宋" w:hAnsi="仿宋"/>
          <w:color w:val="auto"/>
        </w:rPr>
      </w:pPr>
      <w:r>
        <w:rPr>
          <w:rFonts w:hint="eastAsia" w:ascii="仿宋" w:hAnsi="仿宋"/>
          <w:color w:val="auto"/>
        </w:rPr>
        <w:t>邮政编码：XXX</w:t>
      </w:r>
    </w:p>
    <w:p>
      <w:pPr>
        <w:ind w:firstLine="470" w:firstLineChars="196"/>
        <w:rPr>
          <w:rFonts w:ascii="仿宋" w:hAnsi="仿宋"/>
          <w:color w:val="auto"/>
        </w:rPr>
      </w:pPr>
      <w:r>
        <w:rPr>
          <w:rFonts w:hint="eastAsia" w:ascii="仿宋" w:hAnsi="仿宋"/>
          <w:color w:val="auto"/>
        </w:rPr>
        <w:t>联系电话：XXX</w:t>
      </w:r>
    </w:p>
    <w:p>
      <w:pPr>
        <w:ind w:firstLine="470" w:firstLineChars="196"/>
        <w:rPr>
          <w:rFonts w:ascii="仿宋" w:hAnsi="仿宋"/>
          <w:color w:val="auto"/>
        </w:rPr>
      </w:pPr>
      <w:r>
        <w:rPr>
          <w:rFonts w:hint="eastAsia" w:ascii="仿宋" w:hAnsi="仿宋"/>
          <w:color w:val="auto"/>
        </w:rPr>
        <w:t>传    真：XXX</w:t>
      </w:r>
    </w:p>
    <w:p>
      <w:pPr>
        <w:ind w:firstLine="480" w:firstLineChars="200"/>
        <w:rPr>
          <w:rFonts w:ascii="仿宋" w:hAnsi="仿宋"/>
          <w:b/>
          <w:color w:val="auto"/>
          <w:sz w:val="32"/>
          <w:szCs w:val="32"/>
        </w:rPr>
      </w:pPr>
      <w:r>
        <w:rPr>
          <w:rFonts w:hint="eastAsia" w:ascii="仿宋" w:hAnsi="仿宋"/>
          <w:color w:val="auto"/>
        </w:rPr>
        <w:t>日    期：XXX年XXX月XXX日</w:t>
      </w:r>
      <w:r>
        <w:rPr>
          <w:rFonts w:hint="eastAsia" w:ascii="仿宋" w:hAnsi="仿宋"/>
          <w:b/>
          <w:color w:val="auto"/>
          <w:sz w:val="32"/>
          <w:szCs w:val="32"/>
        </w:rPr>
        <w:br w:type="page"/>
      </w:r>
      <w:bookmarkEnd w:id="117"/>
      <w:bookmarkStart w:id="118" w:name="_Toc217446087"/>
    </w:p>
    <w:p>
      <w:pPr>
        <w:widowControl/>
        <w:jc w:val="center"/>
        <w:outlineLvl w:val="1"/>
        <w:rPr>
          <w:rFonts w:ascii="仿宋" w:hAnsi="仿宋"/>
          <w:b/>
          <w:color w:val="auto"/>
          <w:sz w:val="32"/>
          <w:szCs w:val="32"/>
        </w:rPr>
      </w:pPr>
      <w:r>
        <w:rPr>
          <w:rFonts w:hint="eastAsia" w:ascii="仿宋" w:hAnsi="仿宋"/>
          <w:b/>
          <w:color w:val="auto"/>
          <w:sz w:val="32"/>
          <w:szCs w:val="32"/>
        </w:rPr>
        <w:t>五、供应商基本情况表</w:t>
      </w:r>
    </w:p>
    <w:tbl>
      <w:tblPr>
        <w:tblStyle w:val="26"/>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cs="Arial"/>
                <w:bCs/>
                <w:color w:val="auto"/>
                <w:szCs w:val="21"/>
              </w:rPr>
            </w:pPr>
            <w:r>
              <w:rPr>
                <w:rFonts w:hint="eastAsia" w:ascii="仿宋" w:hAnsi="仿宋" w:cs="Arial"/>
                <w:bCs/>
                <w:color w:val="auto"/>
                <w:szCs w:val="21"/>
              </w:rPr>
              <w:t>供应商名称</w:t>
            </w:r>
          </w:p>
        </w:tc>
        <w:tc>
          <w:tcPr>
            <w:tcW w:w="7560" w:type="dxa"/>
            <w:gridSpan w:val="11"/>
            <w:vAlign w:val="center"/>
          </w:tcPr>
          <w:p>
            <w:pPr>
              <w:jc w:val="center"/>
              <w:rPr>
                <w:rFonts w:ascii="仿宋" w:hAnsi="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cs="Arial"/>
                <w:bCs/>
                <w:color w:val="auto"/>
                <w:szCs w:val="21"/>
              </w:rPr>
            </w:pPr>
            <w:r>
              <w:rPr>
                <w:rFonts w:hint="eastAsia" w:ascii="仿宋" w:hAnsi="仿宋" w:cs="Arial"/>
                <w:bCs/>
                <w:color w:val="auto"/>
                <w:szCs w:val="21"/>
              </w:rPr>
              <w:t>注册地址</w:t>
            </w:r>
          </w:p>
        </w:tc>
        <w:tc>
          <w:tcPr>
            <w:tcW w:w="4680" w:type="dxa"/>
            <w:gridSpan w:val="6"/>
            <w:shd w:val="clear" w:color="auto" w:fill="auto"/>
            <w:vAlign w:val="center"/>
          </w:tcPr>
          <w:p>
            <w:pPr>
              <w:jc w:val="center"/>
              <w:rPr>
                <w:rFonts w:ascii="仿宋" w:hAnsi="仿宋" w:cs="Arial"/>
                <w:bCs/>
                <w:color w:val="auto"/>
                <w:szCs w:val="21"/>
              </w:rPr>
            </w:pPr>
          </w:p>
        </w:tc>
        <w:tc>
          <w:tcPr>
            <w:tcW w:w="1260" w:type="dxa"/>
            <w:gridSpan w:val="3"/>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邮政编码</w:t>
            </w:r>
          </w:p>
        </w:tc>
        <w:tc>
          <w:tcPr>
            <w:tcW w:w="1620" w:type="dxa"/>
            <w:gridSpan w:val="2"/>
            <w:vAlign w:val="center"/>
          </w:tcPr>
          <w:p>
            <w:pPr>
              <w:jc w:val="center"/>
              <w:rPr>
                <w:rFonts w:ascii="仿宋" w:hAnsi="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cs="Arial"/>
                <w:bCs/>
                <w:color w:val="auto"/>
                <w:szCs w:val="21"/>
              </w:rPr>
            </w:pPr>
            <w:r>
              <w:rPr>
                <w:rFonts w:hint="eastAsia" w:ascii="仿宋" w:hAnsi="仿宋" w:cs="Arial"/>
                <w:bCs/>
                <w:color w:val="auto"/>
                <w:szCs w:val="21"/>
              </w:rPr>
              <w:t>联系方式</w:t>
            </w:r>
          </w:p>
        </w:tc>
        <w:tc>
          <w:tcPr>
            <w:tcW w:w="1080" w:type="dxa"/>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联系人</w:t>
            </w:r>
          </w:p>
        </w:tc>
        <w:tc>
          <w:tcPr>
            <w:tcW w:w="3600" w:type="dxa"/>
            <w:gridSpan w:val="5"/>
            <w:shd w:val="clear" w:color="auto" w:fill="auto"/>
            <w:vAlign w:val="center"/>
          </w:tcPr>
          <w:p>
            <w:pPr>
              <w:jc w:val="center"/>
              <w:rPr>
                <w:rFonts w:ascii="仿宋" w:hAnsi="仿宋" w:cs="Arial"/>
                <w:bCs/>
                <w:color w:val="auto"/>
                <w:szCs w:val="21"/>
              </w:rPr>
            </w:pPr>
          </w:p>
        </w:tc>
        <w:tc>
          <w:tcPr>
            <w:tcW w:w="1260" w:type="dxa"/>
            <w:gridSpan w:val="3"/>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联系电话</w:t>
            </w:r>
          </w:p>
        </w:tc>
        <w:tc>
          <w:tcPr>
            <w:tcW w:w="1620" w:type="dxa"/>
            <w:gridSpan w:val="2"/>
            <w:vAlign w:val="center"/>
          </w:tcPr>
          <w:p>
            <w:pPr>
              <w:jc w:val="center"/>
              <w:rPr>
                <w:rFonts w:ascii="仿宋" w:hAnsi="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cs="Arial"/>
                <w:bCs/>
                <w:color w:val="auto"/>
                <w:szCs w:val="21"/>
              </w:rPr>
            </w:pPr>
          </w:p>
        </w:tc>
        <w:tc>
          <w:tcPr>
            <w:tcW w:w="1080" w:type="dxa"/>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传真</w:t>
            </w:r>
          </w:p>
        </w:tc>
        <w:tc>
          <w:tcPr>
            <w:tcW w:w="3600" w:type="dxa"/>
            <w:gridSpan w:val="5"/>
            <w:shd w:val="clear" w:color="auto" w:fill="auto"/>
            <w:vAlign w:val="center"/>
          </w:tcPr>
          <w:p>
            <w:pPr>
              <w:jc w:val="center"/>
              <w:rPr>
                <w:rFonts w:ascii="仿宋" w:hAnsi="仿宋" w:cs="Arial"/>
                <w:bCs/>
                <w:color w:val="auto"/>
                <w:szCs w:val="21"/>
              </w:rPr>
            </w:pPr>
          </w:p>
        </w:tc>
        <w:tc>
          <w:tcPr>
            <w:tcW w:w="1260" w:type="dxa"/>
            <w:gridSpan w:val="3"/>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网址</w:t>
            </w:r>
          </w:p>
        </w:tc>
        <w:tc>
          <w:tcPr>
            <w:tcW w:w="1620" w:type="dxa"/>
            <w:gridSpan w:val="2"/>
            <w:vAlign w:val="center"/>
          </w:tcPr>
          <w:p>
            <w:pPr>
              <w:jc w:val="center"/>
              <w:rPr>
                <w:rFonts w:ascii="仿宋" w:hAnsi="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cs="Arial"/>
                <w:bCs/>
                <w:color w:val="auto"/>
                <w:szCs w:val="21"/>
              </w:rPr>
            </w:pPr>
            <w:r>
              <w:rPr>
                <w:rFonts w:hint="eastAsia" w:ascii="仿宋" w:hAnsi="仿宋" w:cs="Arial"/>
                <w:bCs/>
                <w:color w:val="auto"/>
                <w:szCs w:val="21"/>
              </w:rPr>
              <w:t>组织结构</w:t>
            </w:r>
          </w:p>
        </w:tc>
        <w:tc>
          <w:tcPr>
            <w:tcW w:w="7560" w:type="dxa"/>
            <w:gridSpan w:val="11"/>
            <w:vAlign w:val="center"/>
          </w:tcPr>
          <w:p>
            <w:pPr>
              <w:jc w:val="center"/>
              <w:rPr>
                <w:rFonts w:ascii="仿宋" w:hAnsi="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cs="Arial"/>
                <w:bCs/>
                <w:color w:val="auto"/>
                <w:szCs w:val="21"/>
              </w:rPr>
            </w:pPr>
            <w:r>
              <w:rPr>
                <w:rFonts w:hint="eastAsia" w:ascii="仿宋" w:hAnsi="仿宋" w:cs="Arial"/>
                <w:bCs/>
                <w:color w:val="auto"/>
                <w:szCs w:val="21"/>
              </w:rPr>
              <w:t>法定代表人/单位负责人</w:t>
            </w:r>
          </w:p>
        </w:tc>
        <w:tc>
          <w:tcPr>
            <w:tcW w:w="1260" w:type="dxa"/>
            <w:gridSpan w:val="2"/>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姓名</w:t>
            </w:r>
          </w:p>
        </w:tc>
        <w:tc>
          <w:tcPr>
            <w:tcW w:w="1260" w:type="dxa"/>
            <w:shd w:val="clear" w:color="auto" w:fill="auto"/>
            <w:vAlign w:val="center"/>
          </w:tcPr>
          <w:p>
            <w:pPr>
              <w:jc w:val="center"/>
              <w:rPr>
                <w:rFonts w:ascii="仿宋" w:hAnsi="仿宋" w:cs="Arial"/>
                <w:bCs/>
                <w:color w:val="auto"/>
                <w:szCs w:val="21"/>
              </w:rPr>
            </w:pPr>
          </w:p>
        </w:tc>
        <w:tc>
          <w:tcPr>
            <w:tcW w:w="1260" w:type="dxa"/>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技术职称</w:t>
            </w:r>
          </w:p>
        </w:tc>
        <w:tc>
          <w:tcPr>
            <w:tcW w:w="1260" w:type="dxa"/>
            <w:gridSpan w:val="3"/>
            <w:shd w:val="clear" w:color="auto" w:fill="auto"/>
            <w:vAlign w:val="center"/>
          </w:tcPr>
          <w:p>
            <w:pPr>
              <w:jc w:val="center"/>
              <w:rPr>
                <w:rFonts w:ascii="仿宋" w:hAnsi="仿宋" w:cs="Arial"/>
                <w:bCs/>
                <w:color w:val="auto"/>
                <w:szCs w:val="21"/>
              </w:rPr>
            </w:pPr>
          </w:p>
        </w:tc>
        <w:tc>
          <w:tcPr>
            <w:tcW w:w="1260" w:type="dxa"/>
            <w:gridSpan w:val="3"/>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联系电话</w:t>
            </w:r>
          </w:p>
        </w:tc>
        <w:tc>
          <w:tcPr>
            <w:tcW w:w="1260" w:type="dxa"/>
            <w:shd w:val="clear" w:color="auto" w:fill="auto"/>
            <w:vAlign w:val="center"/>
          </w:tcPr>
          <w:p>
            <w:pPr>
              <w:jc w:val="center"/>
              <w:rPr>
                <w:rFonts w:ascii="仿宋" w:hAnsi="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cs="Arial"/>
                <w:bCs/>
                <w:color w:val="auto"/>
                <w:szCs w:val="21"/>
              </w:rPr>
            </w:pPr>
            <w:r>
              <w:rPr>
                <w:rFonts w:hint="eastAsia" w:ascii="仿宋" w:hAnsi="仿宋" w:cs="Arial"/>
                <w:bCs/>
                <w:color w:val="auto"/>
                <w:szCs w:val="21"/>
              </w:rPr>
              <w:t>技术负责人</w:t>
            </w:r>
          </w:p>
        </w:tc>
        <w:tc>
          <w:tcPr>
            <w:tcW w:w="1260" w:type="dxa"/>
            <w:gridSpan w:val="2"/>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姓名</w:t>
            </w:r>
          </w:p>
        </w:tc>
        <w:tc>
          <w:tcPr>
            <w:tcW w:w="1260" w:type="dxa"/>
            <w:shd w:val="clear" w:color="auto" w:fill="auto"/>
            <w:vAlign w:val="center"/>
          </w:tcPr>
          <w:p>
            <w:pPr>
              <w:jc w:val="center"/>
              <w:rPr>
                <w:rFonts w:ascii="仿宋" w:hAnsi="仿宋" w:cs="Arial"/>
                <w:bCs/>
                <w:color w:val="auto"/>
                <w:szCs w:val="21"/>
              </w:rPr>
            </w:pPr>
          </w:p>
        </w:tc>
        <w:tc>
          <w:tcPr>
            <w:tcW w:w="1260" w:type="dxa"/>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技术职称</w:t>
            </w:r>
          </w:p>
        </w:tc>
        <w:tc>
          <w:tcPr>
            <w:tcW w:w="1260" w:type="dxa"/>
            <w:gridSpan w:val="3"/>
            <w:shd w:val="clear" w:color="auto" w:fill="auto"/>
            <w:vAlign w:val="center"/>
          </w:tcPr>
          <w:p>
            <w:pPr>
              <w:jc w:val="center"/>
              <w:rPr>
                <w:rFonts w:ascii="仿宋" w:hAnsi="仿宋" w:cs="Arial"/>
                <w:bCs/>
                <w:color w:val="auto"/>
                <w:szCs w:val="21"/>
              </w:rPr>
            </w:pPr>
          </w:p>
        </w:tc>
        <w:tc>
          <w:tcPr>
            <w:tcW w:w="1260" w:type="dxa"/>
            <w:gridSpan w:val="3"/>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联系电话</w:t>
            </w:r>
          </w:p>
        </w:tc>
        <w:tc>
          <w:tcPr>
            <w:tcW w:w="1260" w:type="dxa"/>
            <w:shd w:val="clear" w:color="auto" w:fill="auto"/>
            <w:vAlign w:val="center"/>
          </w:tcPr>
          <w:p>
            <w:pPr>
              <w:jc w:val="center"/>
              <w:rPr>
                <w:rFonts w:ascii="仿宋" w:hAnsi="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cs="Arial"/>
                <w:bCs/>
                <w:color w:val="auto"/>
                <w:szCs w:val="21"/>
              </w:rPr>
            </w:pPr>
            <w:r>
              <w:rPr>
                <w:rFonts w:hint="eastAsia" w:ascii="仿宋" w:hAnsi="仿宋" w:cs="Arial"/>
                <w:bCs/>
                <w:color w:val="auto"/>
                <w:szCs w:val="21"/>
              </w:rPr>
              <w:t>成立时间</w:t>
            </w:r>
          </w:p>
        </w:tc>
        <w:tc>
          <w:tcPr>
            <w:tcW w:w="2520" w:type="dxa"/>
            <w:gridSpan w:val="3"/>
            <w:vAlign w:val="center"/>
          </w:tcPr>
          <w:p>
            <w:pPr>
              <w:jc w:val="center"/>
              <w:rPr>
                <w:rFonts w:ascii="仿宋" w:hAnsi="仿宋" w:cs="Arial"/>
                <w:bCs/>
                <w:color w:val="auto"/>
                <w:szCs w:val="21"/>
              </w:rPr>
            </w:pPr>
          </w:p>
        </w:tc>
        <w:tc>
          <w:tcPr>
            <w:tcW w:w="5040" w:type="dxa"/>
            <w:gridSpan w:val="8"/>
            <w:vAlign w:val="center"/>
          </w:tcPr>
          <w:p>
            <w:pPr>
              <w:jc w:val="center"/>
              <w:rPr>
                <w:rFonts w:ascii="仿宋" w:hAnsi="仿宋" w:cs="Arial"/>
                <w:bCs/>
                <w:color w:val="auto"/>
                <w:szCs w:val="21"/>
              </w:rPr>
            </w:pPr>
            <w:r>
              <w:rPr>
                <w:rFonts w:hint="eastAsia" w:ascii="仿宋" w:hAnsi="仿宋" w:cs="Arial"/>
                <w:bCs/>
                <w:color w:val="auto"/>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cs="Arial"/>
                <w:bCs/>
                <w:color w:val="auto"/>
                <w:szCs w:val="21"/>
              </w:rPr>
            </w:pPr>
            <w:r>
              <w:rPr>
                <w:rFonts w:hint="eastAsia" w:ascii="仿宋" w:hAnsi="仿宋" w:cs="Arial"/>
                <w:bCs/>
                <w:color w:val="auto"/>
                <w:szCs w:val="21"/>
              </w:rPr>
              <w:t>企业资质等级</w:t>
            </w:r>
          </w:p>
        </w:tc>
        <w:tc>
          <w:tcPr>
            <w:tcW w:w="2520" w:type="dxa"/>
            <w:gridSpan w:val="3"/>
            <w:shd w:val="clear" w:color="auto" w:fill="auto"/>
            <w:vAlign w:val="center"/>
          </w:tcPr>
          <w:p>
            <w:pPr>
              <w:jc w:val="center"/>
              <w:rPr>
                <w:rFonts w:ascii="仿宋" w:hAnsi="仿宋" w:cs="Arial"/>
                <w:bCs/>
                <w:color w:val="auto"/>
                <w:szCs w:val="21"/>
              </w:rPr>
            </w:pPr>
          </w:p>
        </w:tc>
        <w:tc>
          <w:tcPr>
            <w:tcW w:w="1680" w:type="dxa"/>
            <w:gridSpan w:val="2"/>
            <w:vMerge w:val="restart"/>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其中</w:t>
            </w:r>
          </w:p>
        </w:tc>
        <w:tc>
          <w:tcPr>
            <w:tcW w:w="1680" w:type="dxa"/>
            <w:gridSpan w:val="3"/>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项目经理</w:t>
            </w:r>
          </w:p>
        </w:tc>
        <w:tc>
          <w:tcPr>
            <w:tcW w:w="1680" w:type="dxa"/>
            <w:gridSpan w:val="3"/>
            <w:shd w:val="clear" w:color="auto" w:fill="auto"/>
            <w:vAlign w:val="center"/>
          </w:tcPr>
          <w:p>
            <w:pPr>
              <w:jc w:val="center"/>
              <w:rPr>
                <w:rFonts w:ascii="仿宋" w:hAnsi="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cs="Arial"/>
                <w:bCs/>
                <w:color w:val="auto"/>
                <w:szCs w:val="21"/>
              </w:rPr>
            </w:pPr>
            <w:r>
              <w:rPr>
                <w:rFonts w:hint="eastAsia" w:ascii="仿宋" w:hAnsi="仿宋" w:cs="Arial"/>
                <w:bCs/>
                <w:color w:val="auto"/>
                <w:szCs w:val="21"/>
              </w:rPr>
              <w:t>营业执照</w:t>
            </w:r>
            <w:r>
              <w:rPr>
                <w:rFonts w:hint="eastAsia" w:ascii="仿宋" w:hAnsi="仿宋"/>
                <w:color w:val="auto"/>
              </w:rPr>
              <w:t>号</w:t>
            </w:r>
          </w:p>
        </w:tc>
        <w:tc>
          <w:tcPr>
            <w:tcW w:w="2520" w:type="dxa"/>
            <w:gridSpan w:val="3"/>
            <w:shd w:val="clear" w:color="auto" w:fill="auto"/>
            <w:vAlign w:val="center"/>
          </w:tcPr>
          <w:p>
            <w:pPr>
              <w:jc w:val="center"/>
              <w:rPr>
                <w:rFonts w:ascii="仿宋" w:hAnsi="仿宋" w:cs="Arial"/>
                <w:bCs/>
                <w:color w:val="auto"/>
                <w:szCs w:val="21"/>
              </w:rPr>
            </w:pPr>
          </w:p>
        </w:tc>
        <w:tc>
          <w:tcPr>
            <w:tcW w:w="1680" w:type="dxa"/>
            <w:gridSpan w:val="2"/>
            <w:vMerge w:val="continue"/>
            <w:shd w:val="clear" w:color="auto" w:fill="auto"/>
            <w:vAlign w:val="center"/>
          </w:tcPr>
          <w:p>
            <w:pPr>
              <w:jc w:val="center"/>
              <w:rPr>
                <w:rFonts w:ascii="仿宋" w:hAnsi="仿宋" w:cs="Arial"/>
                <w:bCs/>
                <w:color w:val="auto"/>
                <w:szCs w:val="21"/>
              </w:rPr>
            </w:pPr>
          </w:p>
        </w:tc>
        <w:tc>
          <w:tcPr>
            <w:tcW w:w="1680" w:type="dxa"/>
            <w:gridSpan w:val="3"/>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高级职称人员</w:t>
            </w:r>
          </w:p>
        </w:tc>
        <w:tc>
          <w:tcPr>
            <w:tcW w:w="1680" w:type="dxa"/>
            <w:gridSpan w:val="3"/>
            <w:shd w:val="clear" w:color="auto" w:fill="auto"/>
            <w:vAlign w:val="center"/>
          </w:tcPr>
          <w:p>
            <w:pPr>
              <w:jc w:val="center"/>
              <w:rPr>
                <w:rFonts w:ascii="仿宋" w:hAnsi="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cs="Arial"/>
                <w:bCs/>
                <w:color w:val="auto"/>
                <w:szCs w:val="21"/>
              </w:rPr>
            </w:pPr>
            <w:r>
              <w:rPr>
                <w:rFonts w:hint="eastAsia" w:ascii="仿宋" w:hAnsi="仿宋" w:cs="Arial"/>
                <w:bCs/>
                <w:color w:val="auto"/>
                <w:szCs w:val="21"/>
              </w:rPr>
              <w:t>注册资金</w:t>
            </w:r>
          </w:p>
        </w:tc>
        <w:tc>
          <w:tcPr>
            <w:tcW w:w="2520" w:type="dxa"/>
            <w:gridSpan w:val="3"/>
            <w:shd w:val="clear" w:color="auto" w:fill="auto"/>
            <w:vAlign w:val="center"/>
          </w:tcPr>
          <w:p>
            <w:pPr>
              <w:jc w:val="center"/>
              <w:rPr>
                <w:rFonts w:ascii="仿宋" w:hAnsi="仿宋" w:cs="Arial"/>
                <w:bCs/>
                <w:color w:val="auto"/>
                <w:szCs w:val="21"/>
              </w:rPr>
            </w:pPr>
          </w:p>
        </w:tc>
        <w:tc>
          <w:tcPr>
            <w:tcW w:w="1680" w:type="dxa"/>
            <w:gridSpan w:val="2"/>
            <w:vMerge w:val="continue"/>
            <w:shd w:val="clear" w:color="auto" w:fill="auto"/>
            <w:vAlign w:val="center"/>
          </w:tcPr>
          <w:p>
            <w:pPr>
              <w:jc w:val="center"/>
              <w:rPr>
                <w:rFonts w:ascii="仿宋" w:hAnsi="仿宋" w:cs="Arial"/>
                <w:bCs/>
                <w:color w:val="auto"/>
                <w:szCs w:val="21"/>
              </w:rPr>
            </w:pPr>
          </w:p>
        </w:tc>
        <w:tc>
          <w:tcPr>
            <w:tcW w:w="1680" w:type="dxa"/>
            <w:gridSpan w:val="3"/>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中级职称人员</w:t>
            </w:r>
          </w:p>
        </w:tc>
        <w:tc>
          <w:tcPr>
            <w:tcW w:w="1680" w:type="dxa"/>
            <w:gridSpan w:val="3"/>
            <w:shd w:val="clear" w:color="auto" w:fill="auto"/>
            <w:vAlign w:val="center"/>
          </w:tcPr>
          <w:p>
            <w:pPr>
              <w:jc w:val="center"/>
              <w:rPr>
                <w:rFonts w:ascii="仿宋" w:hAnsi="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cs="Arial"/>
                <w:bCs/>
                <w:color w:val="auto"/>
                <w:szCs w:val="21"/>
              </w:rPr>
            </w:pPr>
            <w:r>
              <w:rPr>
                <w:rFonts w:hint="eastAsia" w:ascii="仿宋" w:hAnsi="仿宋" w:cs="Arial"/>
                <w:bCs/>
                <w:color w:val="auto"/>
                <w:szCs w:val="21"/>
              </w:rPr>
              <w:t>开户银行</w:t>
            </w:r>
          </w:p>
        </w:tc>
        <w:tc>
          <w:tcPr>
            <w:tcW w:w="2520" w:type="dxa"/>
            <w:gridSpan w:val="3"/>
            <w:shd w:val="clear" w:color="auto" w:fill="auto"/>
            <w:vAlign w:val="center"/>
          </w:tcPr>
          <w:p>
            <w:pPr>
              <w:jc w:val="center"/>
              <w:rPr>
                <w:rFonts w:ascii="仿宋" w:hAnsi="仿宋" w:cs="Arial"/>
                <w:bCs/>
                <w:color w:val="auto"/>
                <w:szCs w:val="21"/>
              </w:rPr>
            </w:pPr>
          </w:p>
        </w:tc>
        <w:tc>
          <w:tcPr>
            <w:tcW w:w="1680" w:type="dxa"/>
            <w:gridSpan w:val="2"/>
            <w:vMerge w:val="continue"/>
            <w:shd w:val="clear" w:color="auto" w:fill="auto"/>
            <w:vAlign w:val="center"/>
          </w:tcPr>
          <w:p>
            <w:pPr>
              <w:jc w:val="center"/>
              <w:rPr>
                <w:rFonts w:ascii="仿宋" w:hAnsi="仿宋" w:cs="Arial"/>
                <w:bCs/>
                <w:color w:val="auto"/>
                <w:szCs w:val="21"/>
              </w:rPr>
            </w:pPr>
          </w:p>
        </w:tc>
        <w:tc>
          <w:tcPr>
            <w:tcW w:w="1680" w:type="dxa"/>
            <w:gridSpan w:val="3"/>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初级职称人员</w:t>
            </w:r>
          </w:p>
        </w:tc>
        <w:tc>
          <w:tcPr>
            <w:tcW w:w="1680" w:type="dxa"/>
            <w:gridSpan w:val="3"/>
            <w:shd w:val="clear" w:color="auto" w:fill="auto"/>
            <w:vAlign w:val="center"/>
          </w:tcPr>
          <w:p>
            <w:pPr>
              <w:jc w:val="center"/>
              <w:rPr>
                <w:rFonts w:ascii="仿宋" w:hAnsi="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cs="Arial"/>
                <w:bCs/>
                <w:color w:val="auto"/>
                <w:szCs w:val="21"/>
              </w:rPr>
            </w:pPr>
            <w:r>
              <w:rPr>
                <w:rFonts w:hint="eastAsia" w:ascii="仿宋" w:hAnsi="仿宋" w:cs="Arial"/>
                <w:bCs/>
                <w:color w:val="auto"/>
                <w:szCs w:val="21"/>
              </w:rPr>
              <w:t>账号</w:t>
            </w:r>
          </w:p>
        </w:tc>
        <w:tc>
          <w:tcPr>
            <w:tcW w:w="2520" w:type="dxa"/>
            <w:gridSpan w:val="3"/>
            <w:shd w:val="clear" w:color="auto" w:fill="auto"/>
            <w:vAlign w:val="center"/>
          </w:tcPr>
          <w:p>
            <w:pPr>
              <w:jc w:val="center"/>
              <w:rPr>
                <w:rFonts w:ascii="仿宋" w:hAnsi="仿宋" w:cs="Arial"/>
                <w:bCs/>
                <w:color w:val="auto"/>
                <w:szCs w:val="21"/>
              </w:rPr>
            </w:pPr>
          </w:p>
        </w:tc>
        <w:tc>
          <w:tcPr>
            <w:tcW w:w="1680" w:type="dxa"/>
            <w:gridSpan w:val="2"/>
            <w:vMerge w:val="continue"/>
            <w:shd w:val="clear" w:color="auto" w:fill="auto"/>
            <w:vAlign w:val="center"/>
          </w:tcPr>
          <w:p>
            <w:pPr>
              <w:jc w:val="center"/>
              <w:rPr>
                <w:rFonts w:ascii="仿宋" w:hAnsi="仿宋" w:cs="Arial"/>
                <w:bCs/>
                <w:color w:val="auto"/>
                <w:szCs w:val="21"/>
              </w:rPr>
            </w:pPr>
          </w:p>
        </w:tc>
        <w:tc>
          <w:tcPr>
            <w:tcW w:w="1680" w:type="dxa"/>
            <w:gridSpan w:val="3"/>
            <w:shd w:val="clear" w:color="auto" w:fill="auto"/>
            <w:vAlign w:val="center"/>
          </w:tcPr>
          <w:p>
            <w:pPr>
              <w:jc w:val="center"/>
              <w:rPr>
                <w:rFonts w:ascii="仿宋" w:hAnsi="仿宋" w:cs="Arial"/>
                <w:bCs/>
                <w:color w:val="auto"/>
                <w:szCs w:val="21"/>
              </w:rPr>
            </w:pPr>
            <w:r>
              <w:rPr>
                <w:rFonts w:hint="eastAsia" w:ascii="仿宋" w:hAnsi="仿宋" w:cs="Arial"/>
                <w:bCs/>
                <w:color w:val="auto"/>
                <w:szCs w:val="21"/>
              </w:rPr>
              <w:t>技工</w:t>
            </w:r>
          </w:p>
        </w:tc>
        <w:tc>
          <w:tcPr>
            <w:tcW w:w="1680" w:type="dxa"/>
            <w:gridSpan w:val="3"/>
            <w:shd w:val="clear" w:color="auto" w:fill="auto"/>
            <w:vAlign w:val="center"/>
          </w:tcPr>
          <w:p>
            <w:pPr>
              <w:jc w:val="center"/>
              <w:rPr>
                <w:rFonts w:ascii="仿宋" w:hAnsi="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cs="Arial"/>
                <w:bCs/>
                <w:color w:val="auto"/>
                <w:szCs w:val="21"/>
              </w:rPr>
            </w:pPr>
            <w:r>
              <w:rPr>
                <w:rFonts w:hint="eastAsia" w:ascii="仿宋" w:hAnsi="仿宋" w:cs="Arial"/>
                <w:bCs/>
                <w:color w:val="auto"/>
                <w:szCs w:val="21"/>
              </w:rPr>
              <w:t>经营范围</w:t>
            </w:r>
          </w:p>
        </w:tc>
        <w:tc>
          <w:tcPr>
            <w:tcW w:w="7560" w:type="dxa"/>
            <w:gridSpan w:val="11"/>
            <w:vAlign w:val="center"/>
          </w:tcPr>
          <w:p>
            <w:pPr>
              <w:jc w:val="center"/>
              <w:rPr>
                <w:rFonts w:ascii="仿宋" w:hAnsi="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cs="Arial"/>
                <w:bCs/>
                <w:color w:val="auto"/>
                <w:szCs w:val="21"/>
              </w:rPr>
            </w:pPr>
            <w:r>
              <w:rPr>
                <w:rFonts w:hint="eastAsia" w:ascii="仿宋" w:hAnsi="仿宋" w:cs="Arial"/>
                <w:bCs/>
                <w:color w:val="auto"/>
                <w:szCs w:val="21"/>
              </w:rPr>
              <w:t>备注</w:t>
            </w:r>
          </w:p>
        </w:tc>
        <w:tc>
          <w:tcPr>
            <w:tcW w:w="7560" w:type="dxa"/>
            <w:gridSpan w:val="11"/>
            <w:vAlign w:val="center"/>
          </w:tcPr>
          <w:p>
            <w:pPr>
              <w:jc w:val="center"/>
              <w:rPr>
                <w:rFonts w:ascii="仿宋" w:hAnsi="仿宋" w:cs="Arial"/>
                <w:bCs/>
                <w:color w:val="auto"/>
                <w:szCs w:val="21"/>
              </w:rPr>
            </w:pPr>
          </w:p>
        </w:tc>
      </w:tr>
    </w:tbl>
    <w:p>
      <w:pPr>
        <w:rPr>
          <w:rFonts w:ascii="仿宋" w:hAnsi="仿宋"/>
          <w:color w:val="auto"/>
        </w:rPr>
      </w:pPr>
    </w:p>
    <w:p>
      <w:pPr>
        <w:widowControl/>
        <w:spacing w:line="240" w:lineRule="auto"/>
        <w:jc w:val="left"/>
        <w:rPr>
          <w:rFonts w:ascii="仿宋" w:hAnsi="仿宋"/>
          <w:color w:val="auto"/>
        </w:rPr>
      </w:pPr>
      <w:r>
        <w:rPr>
          <w:rFonts w:ascii="仿宋" w:hAnsi="仿宋"/>
          <w:color w:val="auto"/>
        </w:rPr>
        <w:br w:type="page"/>
      </w:r>
    </w:p>
    <w:p>
      <w:pPr>
        <w:widowControl/>
        <w:jc w:val="center"/>
        <w:outlineLvl w:val="1"/>
        <w:rPr>
          <w:rFonts w:ascii="仿宋" w:hAnsi="仿宋"/>
          <w:b/>
          <w:color w:val="auto"/>
          <w:sz w:val="32"/>
          <w:szCs w:val="32"/>
        </w:rPr>
      </w:pPr>
      <w:r>
        <w:rPr>
          <w:rFonts w:hint="eastAsia" w:ascii="仿宋" w:hAnsi="仿宋"/>
          <w:b/>
          <w:color w:val="auto"/>
          <w:sz w:val="32"/>
          <w:szCs w:val="32"/>
        </w:rPr>
        <w:t>六、技术、服务、商务要求及采购合同条款应答表</w:t>
      </w:r>
    </w:p>
    <w:p>
      <w:pPr>
        <w:rPr>
          <w:rFonts w:ascii="仿宋" w:hAnsi="仿宋"/>
          <w:b/>
          <w:bCs/>
          <w:color w:val="auto"/>
          <w:sz w:val="32"/>
          <w:szCs w:val="32"/>
        </w:rPr>
      </w:pPr>
    </w:p>
    <w:tbl>
      <w:tblPr>
        <w:tblStyle w:val="26"/>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543"/>
        <w:gridCol w:w="2551"/>
        <w:gridCol w:w="2552"/>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color w:val="auto"/>
              </w:rPr>
            </w:pPr>
            <w:r>
              <w:rPr>
                <w:rFonts w:hint="eastAsia" w:ascii="仿宋" w:hAnsi="仿宋"/>
                <w:color w:val="auto"/>
              </w:rPr>
              <w:t>序号</w:t>
            </w:r>
          </w:p>
        </w:tc>
        <w:tc>
          <w:tcPr>
            <w:tcW w:w="1543" w:type="dxa"/>
            <w:vAlign w:val="center"/>
          </w:tcPr>
          <w:p>
            <w:pPr>
              <w:jc w:val="center"/>
              <w:rPr>
                <w:rFonts w:ascii="仿宋" w:hAnsi="仿宋"/>
                <w:color w:val="auto"/>
              </w:rPr>
            </w:pPr>
            <w:r>
              <w:rPr>
                <w:rFonts w:hint="eastAsia" w:ascii="仿宋" w:hAnsi="仿宋"/>
                <w:color w:val="auto"/>
              </w:rPr>
              <w:t>包号（如有）</w:t>
            </w:r>
          </w:p>
        </w:tc>
        <w:tc>
          <w:tcPr>
            <w:tcW w:w="2551" w:type="dxa"/>
            <w:vAlign w:val="center"/>
          </w:tcPr>
          <w:p>
            <w:pPr>
              <w:jc w:val="center"/>
              <w:rPr>
                <w:rFonts w:ascii="仿宋" w:hAnsi="仿宋"/>
                <w:color w:val="auto"/>
              </w:rPr>
            </w:pPr>
            <w:r>
              <w:rPr>
                <w:rFonts w:hint="eastAsia" w:ascii="仿宋" w:hAnsi="仿宋"/>
                <w:color w:val="auto"/>
              </w:rPr>
              <w:t>采购文件要求</w:t>
            </w:r>
          </w:p>
        </w:tc>
        <w:tc>
          <w:tcPr>
            <w:tcW w:w="2552" w:type="dxa"/>
            <w:vAlign w:val="center"/>
          </w:tcPr>
          <w:p>
            <w:pPr>
              <w:jc w:val="center"/>
              <w:rPr>
                <w:rFonts w:ascii="仿宋" w:hAnsi="仿宋"/>
                <w:color w:val="auto"/>
              </w:rPr>
            </w:pPr>
            <w:r>
              <w:rPr>
                <w:rFonts w:hint="eastAsia" w:ascii="仿宋" w:hAnsi="仿宋"/>
                <w:color w:val="auto"/>
              </w:rPr>
              <w:t>响应文件响应</w:t>
            </w:r>
          </w:p>
        </w:tc>
        <w:tc>
          <w:tcPr>
            <w:tcW w:w="1739" w:type="dxa"/>
            <w:vAlign w:val="center"/>
          </w:tcPr>
          <w:p>
            <w:pPr>
              <w:jc w:val="center"/>
              <w:rPr>
                <w:rFonts w:ascii="仿宋" w:hAnsi="仿宋"/>
                <w:color w:val="auto"/>
              </w:rPr>
            </w:pPr>
            <w:r>
              <w:rPr>
                <w:rFonts w:hint="eastAsia" w:ascii="仿宋" w:hAnsi="仿宋"/>
                <w:color w:val="auto"/>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color w:val="auto"/>
              </w:rPr>
            </w:pPr>
          </w:p>
        </w:tc>
        <w:tc>
          <w:tcPr>
            <w:tcW w:w="1543" w:type="dxa"/>
          </w:tcPr>
          <w:p>
            <w:pPr>
              <w:jc w:val="center"/>
              <w:rPr>
                <w:rFonts w:ascii="仿宋" w:hAnsi="仿宋"/>
                <w:color w:val="auto"/>
              </w:rPr>
            </w:pPr>
          </w:p>
        </w:tc>
        <w:tc>
          <w:tcPr>
            <w:tcW w:w="2551" w:type="dxa"/>
          </w:tcPr>
          <w:p>
            <w:pPr>
              <w:jc w:val="center"/>
              <w:rPr>
                <w:rFonts w:ascii="仿宋" w:hAnsi="仿宋"/>
                <w:color w:val="auto"/>
              </w:rPr>
            </w:pPr>
          </w:p>
        </w:tc>
        <w:tc>
          <w:tcPr>
            <w:tcW w:w="2552" w:type="dxa"/>
          </w:tcPr>
          <w:p>
            <w:pPr>
              <w:jc w:val="center"/>
              <w:rPr>
                <w:rFonts w:ascii="仿宋" w:hAnsi="仿宋"/>
                <w:color w:val="auto"/>
              </w:rPr>
            </w:pPr>
          </w:p>
        </w:tc>
        <w:tc>
          <w:tcPr>
            <w:tcW w:w="1739" w:type="dxa"/>
          </w:tcPr>
          <w:p>
            <w:pPr>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color w:val="auto"/>
              </w:rPr>
            </w:pPr>
          </w:p>
        </w:tc>
        <w:tc>
          <w:tcPr>
            <w:tcW w:w="1543" w:type="dxa"/>
          </w:tcPr>
          <w:p>
            <w:pPr>
              <w:jc w:val="center"/>
              <w:rPr>
                <w:rFonts w:ascii="仿宋" w:hAnsi="仿宋"/>
                <w:color w:val="auto"/>
              </w:rPr>
            </w:pPr>
          </w:p>
        </w:tc>
        <w:tc>
          <w:tcPr>
            <w:tcW w:w="2551" w:type="dxa"/>
          </w:tcPr>
          <w:p>
            <w:pPr>
              <w:jc w:val="center"/>
              <w:rPr>
                <w:rFonts w:ascii="仿宋" w:hAnsi="仿宋"/>
                <w:color w:val="auto"/>
              </w:rPr>
            </w:pPr>
          </w:p>
        </w:tc>
        <w:tc>
          <w:tcPr>
            <w:tcW w:w="2552" w:type="dxa"/>
          </w:tcPr>
          <w:p>
            <w:pPr>
              <w:jc w:val="center"/>
              <w:rPr>
                <w:rFonts w:ascii="仿宋" w:hAnsi="仿宋"/>
                <w:color w:val="auto"/>
              </w:rPr>
            </w:pPr>
          </w:p>
        </w:tc>
        <w:tc>
          <w:tcPr>
            <w:tcW w:w="1739" w:type="dxa"/>
          </w:tcPr>
          <w:p>
            <w:pPr>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color w:val="auto"/>
              </w:rPr>
            </w:pPr>
          </w:p>
        </w:tc>
        <w:tc>
          <w:tcPr>
            <w:tcW w:w="1543" w:type="dxa"/>
          </w:tcPr>
          <w:p>
            <w:pPr>
              <w:jc w:val="center"/>
              <w:rPr>
                <w:rFonts w:ascii="仿宋" w:hAnsi="仿宋"/>
                <w:color w:val="auto"/>
              </w:rPr>
            </w:pPr>
          </w:p>
        </w:tc>
        <w:tc>
          <w:tcPr>
            <w:tcW w:w="2551" w:type="dxa"/>
          </w:tcPr>
          <w:p>
            <w:pPr>
              <w:jc w:val="center"/>
              <w:rPr>
                <w:rFonts w:ascii="仿宋" w:hAnsi="仿宋"/>
                <w:color w:val="auto"/>
              </w:rPr>
            </w:pPr>
          </w:p>
        </w:tc>
        <w:tc>
          <w:tcPr>
            <w:tcW w:w="2552" w:type="dxa"/>
          </w:tcPr>
          <w:p>
            <w:pPr>
              <w:jc w:val="center"/>
              <w:rPr>
                <w:rFonts w:ascii="仿宋" w:hAnsi="仿宋"/>
                <w:color w:val="auto"/>
              </w:rPr>
            </w:pPr>
          </w:p>
        </w:tc>
        <w:tc>
          <w:tcPr>
            <w:tcW w:w="1739" w:type="dxa"/>
          </w:tcPr>
          <w:p>
            <w:pPr>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color w:val="auto"/>
              </w:rPr>
            </w:pPr>
          </w:p>
        </w:tc>
        <w:tc>
          <w:tcPr>
            <w:tcW w:w="1543" w:type="dxa"/>
          </w:tcPr>
          <w:p>
            <w:pPr>
              <w:jc w:val="center"/>
              <w:rPr>
                <w:rFonts w:ascii="仿宋" w:hAnsi="仿宋"/>
                <w:color w:val="auto"/>
              </w:rPr>
            </w:pPr>
          </w:p>
        </w:tc>
        <w:tc>
          <w:tcPr>
            <w:tcW w:w="2551" w:type="dxa"/>
          </w:tcPr>
          <w:p>
            <w:pPr>
              <w:jc w:val="center"/>
              <w:rPr>
                <w:rFonts w:ascii="仿宋" w:hAnsi="仿宋"/>
                <w:color w:val="auto"/>
              </w:rPr>
            </w:pPr>
          </w:p>
        </w:tc>
        <w:tc>
          <w:tcPr>
            <w:tcW w:w="2552" w:type="dxa"/>
          </w:tcPr>
          <w:p>
            <w:pPr>
              <w:jc w:val="center"/>
              <w:rPr>
                <w:rFonts w:ascii="仿宋" w:hAnsi="仿宋"/>
                <w:color w:val="auto"/>
              </w:rPr>
            </w:pPr>
          </w:p>
        </w:tc>
        <w:tc>
          <w:tcPr>
            <w:tcW w:w="1739" w:type="dxa"/>
          </w:tcPr>
          <w:p>
            <w:pPr>
              <w:jc w:val="center"/>
              <w:rPr>
                <w:rFonts w:ascii="仿宋" w:hAnsi="仿宋"/>
                <w:color w:val="auto"/>
              </w:rPr>
            </w:pPr>
          </w:p>
        </w:tc>
      </w:tr>
    </w:tbl>
    <w:p>
      <w:pPr>
        <w:jc w:val="center"/>
        <w:rPr>
          <w:rFonts w:ascii="仿宋" w:hAnsi="仿宋"/>
          <w:b/>
          <w:bCs/>
          <w:color w:val="auto"/>
          <w:sz w:val="32"/>
          <w:szCs w:val="32"/>
        </w:rPr>
      </w:pPr>
    </w:p>
    <w:p>
      <w:pPr>
        <w:adjustRightInd w:val="0"/>
        <w:ind w:firstLine="480" w:firstLineChars="200"/>
        <w:jc w:val="left"/>
        <w:rPr>
          <w:rFonts w:ascii="仿宋" w:hAnsi="仿宋" w:cs="宋体"/>
          <w:b/>
          <w:bCs/>
          <w:color w:val="auto"/>
        </w:rPr>
      </w:pPr>
      <w:r>
        <w:rPr>
          <w:rFonts w:hint="eastAsia" w:ascii="仿宋" w:hAnsi="仿宋" w:cs="宋体"/>
          <w:bCs/>
          <w:color w:val="auto"/>
        </w:rPr>
        <w:t>注：</w:t>
      </w:r>
      <w:r>
        <w:rPr>
          <w:rFonts w:ascii="仿宋" w:hAnsi="仿宋" w:cs="宋体"/>
          <w:bCs/>
          <w:color w:val="auto"/>
        </w:rPr>
        <w:t>1</w:t>
      </w:r>
      <w:r>
        <w:rPr>
          <w:rFonts w:hint="eastAsia" w:ascii="仿宋" w:hAnsi="仿宋" w:cs="宋体"/>
          <w:bCs/>
          <w:color w:val="auto"/>
        </w:rPr>
        <w:t>、供应商应当将响应货物或服务相对询比文件要求有偏离的内容（包括正偏离和负偏离）在上表中如实反映，未在上表中予以列明的，视为供应商承诺其所提供货物或服务相对于询比文件要求无偏离。</w:t>
      </w:r>
      <w:r>
        <w:rPr>
          <w:rFonts w:hint="eastAsia" w:ascii="仿宋" w:hAnsi="仿宋" w:cs="宋体"/>
          <w:b/>
          <w:bCs/>
          <w:color w:val="auto"/>
        </w:rPr>
        <w:t>但采购文件第四章要求在</w:t>
      </w:r>
      <w:r>
        <w:rPr>
          <w:rFonts w:hint="eastAsia" w:ascii="仿宋" w:hAnsi="仿宋" w:cs="宋体"/>
          <w:b/>
          <w:color w:val="auto"/>
          <w:lang w:bidi="ar"/>
        </w:rPr>
        <w:t>提交响应文件时</w:t>
      </w:r>
      <w:r>
        <w:rPr>
          <w:rFonts w:hint="eastAsia" w:ascii="仿宋" w:hAnsi="仿宋"/>
          <w:b/>
          <w:color w:val="auto"/>
          <w:lang w:bidi="ar"/>
        </w:rPr>
        <w:t>提供相关证明资料或相关材料的，供应商应当在响应文件中提供，否则视为未响应采购要求（负偏离）</w:t>
      </w:r>
      <w:r>
        <w:rPr>
          <w:rFonts w:hint="eastAsia" w:ascii="仿宋" w:hAnsi="仿宋" w:cs="宋体"/>
          <w:b/>
          <w:bCs/>
          <w:color w:val="auto"/>
        </w:rPr>
        <w:t>。</w:t>
      </w:r>
    </w:p>
    <w:p>
      <w:pPr>
        <w:adjustRightInd w:val="0"/>
        <w:ind w:firstLine="482" w:firstLineChars="200"/>
        <w:jc w:val="left"/>
        <w:rPr>
          <w:rFonts w:ascii="仿宋" w:hAnsi="仿宋" w:cs="宋体"/>
          <w:b/>
          <w:bCs/>
          <w:color w:val="auto"/>
        </w:rPr>
      </w:pPr>
      <w:r>
        <w:rPr>
          <w:rFonts w:hint="eastAsia" w:ascii="仿宋" w:hAnsi="仿宋" w:cs="宋体"/>
          <w:b/>
          <w:bCs/>
          <w:color w:val="auto"/>
        </w:rPr>
        <w:t>2、如评分标准中涉及技术、服务、商务、采购合同条款的，供应商应在上表应答，否则有可能在评审时不能得分，该风险由供应商自行承担（适用于综合评分的项目）。</w:t>
      </w:r>
    </w:p>
    <w:p>
      <w:pPr>
        <w:adjustRightInd w:val="0"/>
        <w:ind w:firstLine="482" w:firstLineChars="200"/>
        <w:jc w:val="left"/>
        <w:rPr>
          <w:rFonts w:ascii="仿宋" w:hAnsi="仿宋" w:cs="宋体"/>
          <w:b/>
          <w:bCs/>
          <w:color w:val="auto"/>
        </w:rPr>
      </w:pPr>
      <w:r>
        <w:rPr>
          <w:rFonts w:hint="eastAsia" w:ascii="仿宋" w:hAnsi="仿宋"/>
          <w:b/>
          <w:color w:val="auto"/>
        </w:rPr>
        <w:t>3、（实质性要求）响应文件中其他位置响应的内容和此表（包括此表未列出的一致且满足的条文）不一致的，以此应答表的内容为准。</w:t>
      </w:r>
    </w:p>
    <w:p>
      <w:pPr>
        <w:adjustRightInd w:val="0"/>
        <w:ind w:firstLine="480" w:firstLineChars="200"/>
        <w:jc w:val="left"/>
        <w:rPr>
          <w:rFonts w:ascii="仿宋" w:hAnsi="仿宋" w:cs="宋体"/>
          <w:bCs/>
          <w:color w:val="auto"/>
        </w:rPr>
      </w:pPr>
      <w:r>
        <w:rPr>
          <w:rFonts w:hint="eastAsia" w:ascii="仿宋" w:hAnsi="仿宋" w:cs="宋体"/>
          <w:bCs/>
          <w:color w:val="auto"/>
        </w:rPr>
        <w:t>4、供应商应当根据谈判文件要求据实填写，不得虚假响应，虚假响应的，其响应文件无效并按规定追究其相关责任。</w:t>
      </w:r>
    </w:p>
    <w:p>
      <w:pPr>
        <w:adjustRightInd w:val="0"/>
        <w:ind w:firstLine="480" w:firstLineChars="200"/>
        <w:jc w:val="left"/>
        <w:rPr>
          <w:rFonts w:ascii="仿宋" w:hAnsi="仿宋"/>
          <w:color w:val="auto"/>
        </w:rPr>
      </w:pPr>
    </w:p>
    <w:p>
      <w:pPr>
        <w:adjustRightInd w:val="0"/>
        <w:ind w:firstLine="480" w:firstLineChars="200"/>
        <w:jc w:val="left"/>
        <w:rPr>
          <w:rFonts w:ascii="仿宋" w:hAnsi="仿宋"/>
          <w:color w:val="auto"/>
        </w:rPr>
      </w:pPr>
      <w:r>
        <w:rPr>
          <w:rFonts w:hint="eastAsia" w:ascii="仿宋" w:hAnsi="仿宋"/>
          <w:color w:val="auto"/>
        </w:rPr>
        <w:t>供应商名称：XXX（盖单位公章）</w:t>
      </w:r>
    </w:p>
    <w:p>
      <w:pPr>
        <w:adjustRightInd w:val="0"/>
        <w:ind w:firstLine="480" w:firstLineChars="200"/>
        <w:jc w:val="left"/>
        <w:rPr>
          <w:rFonts w:ascii="仿宋" w:hAnsi="仿宋"/>
          <w:bCs/>
          <w:color w:val="auto"/>
        </w:rPr>
      </w:pPr>
      <w:r>
        <w:rPr>
          <w:rFonts w:hint="eastAsia" w:ascii="仿宋" w:hAnsi="仿宋"/>
          <w:bCs/>
          <w:color w:val="auto"/>
        </w:rPr>
        <w:t>法定代表人/单位负责人或授权代表</w:t>
      </w:r>
      <w:r>
        <w:rPr>
          <w:rFonts w:hint="eastAsia" w:ascii="仿宋" w:hAnsi="仿宋"/>
          <w:color w:val="auto"/>
        </w:rPr>
        <w:t>（签字或加盖个人印章）</w:t>
      </w:r>
      <w:r>
        <w:rPr>
          <w:rFonts w:hint="eastAsia" w:ascii="仿宋" w:hAnsi="仿宋"/>
          <w:bCs/>
          <w:color w:val="auto"/>
        </w:rPr>
        <w:t>：XXX</w:t>
      </w:r>
    </w:p>
    <w:p>
      <w:pPr>
        <w:adjustRightInd w:val="0"/>
        <w:ind w:firstLine="540" w:firstLineChars="225"/>
        <w:jc w:val="left"/>
        <w:rPr>
          <w:rFonts w:ascii="仿宋" w:hAnsi="仿宋"/>
          <w:bCs/>
          <w:color w:val="auto"/>
        </w:rPr>
      </w:pPr>
      <w:r>
        <w:rPr>
          <w:rFonts w:hint="eastAsia" w:ascii="仿宋" w:hAnsi="仿宋"/>
          <w:bCs/>
          <w:color w:val="auto"/>
        </w:rPr>
        <w:t>日期</w:t>
      </w:r>
      <w:r>
        <w:rPr>
          <w:rFonts w:hint="eastAsia" w:ascii="仿宋" w:hAnsi="仿宋"/>
          <w:color w:val="auto"/>
        </w:rPr>
        <w:t>：</w:t>
      </w:r>
      <w:r>
        <w:rPr>
          <w:rFonts w:hint="eastAsia" w:ascii="仿宋" w:hAnsi="仿宋"/>
          <w:bCs/>
          <w:color w:val="auto"/>
        </w:rPr>
        <w:t>XXX年XXX月XXX日</w:t>
      </w:r>
    </w:p>
    <w:p>
      <w:pPr>
        <w:widowControl/>
        <w:jc w:val="left"/>
        <w:rPr>
          <w:rFonts w:ascii="仿宋" w:hAnsi="仿宋"/>
          <w:color w:val="auto"/>
        </w:rPr>
      </w:pPr>
      <w:r>
        <w:rPr>
          <w:rFonts w:ascii="仿宋" w:hAnsi="仿宋"/>
          <w:color w:val="auto"/>
        </w:rPr>
        <w:br w:type="page"/>
      </w:r>
    </w:p>
    <w:p>
      <w:pPr>
        <w:widowControl/>
        <w:jc w:val="center"/>
        <w:outlineLvl w:val="1"/>
        <w:rPr>
          <w:rFonts w:ascii="仿宋" w:hAnsi="仿宋"/>
          <w:b/>
          <w:color w:val="auto"/>
          <w:sz w:val="32"/>
          <w:szCs w:val="32"/>
        </w:rPr>
      </w:pPr>
      <w:r>
        <w:rPr>
          <w:rFonts w:hint="eastAsia" w:ascii="仿宋" w:hAnsi="仿宋"/>
          <w:b/>
          <w:color w:val="auto"/>
          <w:sz w:val="32"/>
          <w:szCs w:val="32"/>
        </w:rPr>
        <w:t>八、供应商拟投入本项目人员表</w:t>
      </w:r>
    </w:p>
    <w:p>
      <w:pPr>
        <w:rPr>
          <w:color w:val="auto"/>
        </w:rPr>
      </w:pPr>
    </w:p>
    <w:tbl>
      <w:tblPr>
        <w:tblStyle w:val="26"/>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082"/>
        <w:gridCol w:w="1082"/>
        <w:gridCol w:w="1082"/>
        <w:gridCol w:w="1082"/>
        <w:gridCol w:w="1082"/>
        <w:gridCol w:w="1082"/>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82" w:type="dxa"/>
            <w:vMerge w:val="restart"/>
            <w:vAlign w:val="center"/>
          </w:tcPr>
          <w:p>
            <w:pPr>
              <w:jc w:val="center"/>
              <w:rPr>
                <w:rFonts w:ascii="仿宋" w:hAnsi="仿宋"/>
                <w:color w:val="auto"/>
              </w:rPr>
            </w:pPr>
            <w:r>
              <w:rPr>
                <w:rFonts w:hint="eastAsia" w:ascii="仿宋" w:hAnsi="仿宋"/>
                <w:color w:val="auto"/>
              </w:rPr>
              <w:t>拟在本项目担任职务</w:t>
            </w:r>
          </w:p>
        </w:tc>
        <w:tc>
          <w:tcPr>
            <w:tcW w:w="1082" w:type="dxa"/>
            <w:vMerge w:val="restart"/>
            <w:vAlign w:val="center"/>
          </w:tcPr>
          <w:p>
            <w:pPr>
              <w:jc w:val="center"/>
              <w:rPr>
                <w:rFonts w:ascii="仿宋" w:hAnsi="仿宋"/>
                <w:color w:val="auto"/>
              </w:rPr>
            </w:pPr>
            <w:r>
              <w:rPr>
                <w:rFonts w:hint="eastAsia" w:ascii="仿宋" w:hAnsi="仿宋"/>
                <w:color w:val="auto"/>
              </w:rPr>
              <w:t>姓名</w:t>
            </w:r>
          </w:p>
        </w:tc>
        <w:tc>
          <w:tcPr>
            <w:tcW w:w="1082" w:type="dxa"/>
            <w:vMerge w:val="restart"/>
            <w:vAlign w:val="center"/>
          </w:tcPr>
          <w:p>
            <w:pPr>
              <w:jc w:val="center"/>
              <w:rPr>
                <w:rFonts w:ascii="仿宋" w:hAnsi="仿宋"/>
                <w:color w:val="auto"/>
              </w:rPr>
            </w:pPr>
            <w:r>
              <w:rPr>
                <w:rFonts w:hint="eastAsia" w:ascii="仿宋" w:hAnsi="仿宋"/>
                <w:color w:val="auto"/>
              </w:rPr>
              <w:t>职称</w:t>
            </w:r>
          </w:p>
        </w:tc>
        <w:tc>
          <w:tcPr>
            <w:tcW w:w="1082" w:type="dxa"/>
            <w:vMerge w:val="restart"/>
            <w:vAlign w:val="center"/>
          </w:tcPr>
          <w:p>
            <w:pPr>
              <w:jc w:val="center"/>
              <w:rPr>
                <w:rFonts w:ascii="仿宋" w:hAnsi="仿宋"/>
                <w:color w:val="auto"/>
              </w:rPr>
            </w:pPr>
            <w:r>
              <w:rPr>
                <w:rFonts w:hint="eastAsia" w:ascii="仿宋" w:hAnsi="仿宋"/>
                <w:color w:val="auto"/>
              </w:rPr>
              <w:t>常驻地</w:t>
            </w:r>
          </w:p>
        </w:tc>
        <w:tc>
          <w:tcPr>
            <w:tcW w:w="4328" w:type="dxa"/>
            <w:gridSpan w:val="4"/>
            <w:vAlign w:val="center"/>
          </w:tcPr>
          <w:p>
            <w:pPr>
              <w:jc w:val="center"/>
              <w:rPr>
                <w:rFonts w:ascii="仿宋" w:hAnsi="仿宋"/>
                <w:color w:val="auto"/>
              </w:rPr>
            </w:pPr>
            <w:r>
              <w:rPr>
                <w:rFonts w:hint="eastAsia" w:ascii="仿宋" w:hAnsi="仿宋"/>
                <w:color w:val="auto"/>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082" w:type="dxa"/>
            <w:vMerge w:val="continue"/>
            <w:vAlign w:val="center"/>
          </w:tcPr>
          <w:p>
            <w:pPr>
              <w:jc w:val="center"/>
              <w:rPr>
                <w:rFonts w:ascii="仿宋" w:hAnsi="仿宋"/>
                <w:color w:val="auto"/>
              </w:rPr>
            </w:pPr>
          </w:p>
        </w:tc>
        <w:tc>
          <w:tcPr>
            <w:tcW w:w="1082" w:type="dxa"/>
            <w:vMerge w:val="continue"/>
            <w:vAlign w:val="center"/>
          </w:tcPr>
          <w:p>
            <w:pPr>
              <w:jc w:val="center"/>
              <w:rPr>
                <w:rFonts w:ascii="仿宋" w:hAnsi="仿宋"/>
                <w:color w:val="auto"/>
              </w:rPr>
            </w:pPr>
          </w:p>
        </w:tc>
        <w:tc>
          <w:tcPr>
            <w:tcW w:w="1082" w:type="dxa"/>
            <w:vMerge w:val="continue"/>
            <w:vAlign w:val="center"/>
          </w:tcPr>
          <w:p>
            <w:pPr>
              <w:jc w:val="center"/>
              <w:rPr>
                <w:rFonts w:ascii="仿宋" w:hAnsi="仿宋"/>
                <w:color w:val="auto"/>
              </w:rPr>
            </w:pPr>
          </w:p>
        </w:tc>
        <w:tc>
          <w:tcPr>
            <w:tcW w:w="1082" w:type="dxa"/>
            <w:vMerge w:val="continue"/>
            <w:vAlign w:val="center"/>
          </w:tcPr>
          <w:p>
            <w:pPr>
              <w:jc w:val="center"/>
              <w:rPr>
                <w:rFonts w:ascii="仿宋" w:hAnsi="仿宋"/>
                <w:color w:val="auto"/>
              </w:rPr>
            </w:pPr>
          </w:p>
        </w:tc>
        <w:tc>
          <w:tcPr>
            <w:tcW w:w="1082" w:type="dxa"/>
            <w:vAlign w:val="center"/>
          </w:tcPr>
          <w:p>
            <w:pPr>
              <w:jc w:val="center"/>
              <w:rPr>
                <w:rFonts w:ascii="仿宋" w:hAnsi="仿宋"/>
                <w:color w:val="auto"/>
              </w:rPr>
            </w:pPr>
            <w:r>
              <w:rPr>
                <w:rFonts w:hint="eastAsia" w:ascii="仿宋" w:hAnsi="仿宋"/>
                <w:color w:val="auto"/>
              </w:rPr>
              <w:t>证书</w:t>
            </w:r>
          </w:p>
          <w:p>
            <w:pPr>
              <w:jc w:val="center"/>
              <w:rPr>
                <w:rFonts w:ascii="仿宋" w:hAnsi="仿宋"/>
                <w:color w:val="auto"/>
              </w:rPr>
            </w:pPr>
            <w:r>
              <w:rPr>
                <w:rFonts w:hint="eastAsia" w:ascii="仿宋" w:hAnsi="仿宋"/>
                <w:color w:val="auto"/>
              </w:rPr>
              <w:t>名称</w:t>
            </w:r>
          </w:p>
        </w:tc>
        <w:tc>
          <w:tcPr>
            <w:tcW w:w="1082" w:type="dxa"/>
            <w:vAlign w:val="center"/>
          </w:tcPr>
          <w:p>
            <w:pPr>
              <w:jc w:val="center"/>
              <w:rPr>
                <w:rFonts w:ascii="仿宋" w:hAnsi="仿宋"/>
                <w:color w:val="auto"/>
              </w:rPr>
            </w:pPr>
            <w:r>
              <w:rPr>
                <w:rFonts w:hint="eastAsia" w:ascii="仿宋" w:hAnsi="仿宋"/>
                <w:color w:val="auto"/>
              </w:rPr>
              <w:t>级别</w:t>
            </w:r>
          </w:p>
        </w:tc>
        <w:tc>
          <w:tcPr>
            <w:tcW w:w="1082" w:type="dxa"/>
            <w:vAlign w:val="center"/>
          </w:tcPr>
          <w:p>
            <w:pPr>
              <w:jc w:val="center"/>
              <w:rPr>
                <w:rFonts w:ascii="仿宋" w:hAnsi="仿宋"/>
                <w:color w:val="auto"/>
              </w:rPr>
            </w:pPr>
            <w:r>
              <w:rPr>
                <w:rFonts w:hint="eastAsia" w:ascii="仿宋" w:hAnsi="仿宋"/>
                <w:color w:val="auto"/>
              </w:rPr>
              <w:t>证号</w:t>
            </w:r>
          </w:p>
        </w:tc>
        <w:tc>
          <w:tcPr>
            <w:tcW w:w="1082" w:type="dxa"/>
            <w:vAlign w:val="center"/>
          </w:tcPr>
          <w:p>
            <w:pPr>
              <w:jc w:val="center"/>
              <w:rPr>
                <w:rFonts w:ascii="仿宋" w:hAnsi="仿宋"/>
                <w:color w:val="auto"/>
              </w:rPr>
            </w:pPr>
            <w:r>
              <w:rPr>
                <w:rFonts w:hint="eastAsia" w:ascii="仿宋" w:hAnsi="仿宋"/>
                <w:color w:val="auto"/>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c>
          <w:tcPr>
            <w:tcW w:w="1082" w:type="dxa"/>
          </w:tcPr>
          <w:p>
            <w:pPr>
              <w:rPr>
                <w:rFonts w:ascii="仿宋" w:hAnsi="仿宋"/>
                <w:color w:val="auto"/>
              </w:rPr>
            </w:pPr>
          </w:p>
        </w:tc>
      </w:tr>
    </w:tbl>
    <w:p>
      <w:pPr>
        <w:rPr>
          <w:rFonts w:ascii="仿宋" w:hAnsi="仿宋"/>
          <w:color w:val="auto"/>
        </w:rPr>
      </w:pPr>
    </w:p>
    <w:p>
      <w:pPr>
        <w:widowControl/>
        <w:spacing w:line="240" w:lineRule="auto"/>
        <w:jc w:val="left"/>
        <w:rPr>
          <w:rFonts w:ascii="仿宋" w:hAnsi="仿宋"/>
          <w:color w:val="auto"/>
        </w:rPr>
      </w:pPr>
      <w:r>
        <w:rPr>
          <w:rFonts w:ascii="仿宋" w:hAnsi="仿宋"/>
          <w:color w:val="auto"/>
        </w:rPr>
        <w:br w:type="page"/>
      </w:r>
    </w:p>
    <w:p>
      <w:pPr>
        <w:widowControl/>
        <w:jc w:val="center"/>
        <w:outlineLvl w:val="1"/>
        <w:rPr>
          <w:rFonts w:ascii="仿宋" w:hAnsi="仿宋"/>
          <w:b/>
          <w:color w:val="auto"/>
          <w:sz w:val="32"/>
          <w:szCs w:val="32"/>
        </w:rPr>
      </w:pPr>
      <w:r>
        <w:rPr>
          <w:rFonts w:hint="eastAsia" w:ascii="仿宋" w:hAnsi="仿宋"/>
          <w:b/>
          <w:color w:val="auto"/>
          <w:sz w:val="32"/>
          <w:szCs w:val="32"/>
        </w:rPr>
        <w:t>七、供应商类似项目业绩一览表</w:t>
      </w:r>
    </w:p>
    <w:tbl>
      <w:tblPr>
        <w:tblStyle w:val="26"/>
        <w:tblW w:w="855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25"/>
        <w:gridCol w:w="1653"/>
        <w:gridCol w:w="1515"/>
        <w:gridCol w:w="1332"/>
        <w:gridCol w:w="1632"/>
        <w:gridCol w:w="159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1" w:hRule="atLeast"/>
          <w:jc w:val="center"/>
        </w:trPr>
        <w:tc>
          <w:tcPr>
            <w:tcW w:w="825" w:type="dxa"/>
            <w:tcBorders>
              <w:top w:val="single" w:color="auto" w:sz="4" w:space="0"/>
            </w:tcBorders>
            <w:vAlign w:val="center"/>
          </w:tcPr>
          <w:p>
            <w:pPr>
              <w:ind w:firstLine="120" w:firstLineChars="50"/>
              <w:jc w:val="center"/>
              <w:rPr>
                <w:rFonts w:ascii="仿宋" w:hAnsi="仿宋" w:cs="Arial"/>
                <w:b/>
                <w:color w:val="auto"/>
              </w:rPr>
            </w:pPr>
            <w:r>
              <w:rPr>
                <w:rFonts w:hint="eastAsia" w:ascii="仿宋" w:hAnsi="仿宋" w:cs="Arial"/>
                <w:b/>
                <w:color w:val="auto"/>
              </w:rPr>
              <w:t>年份</w:t>
            </w:r>
          </w:p>
        </w:tc>
        <w:tc>
          <w:tcPr>
            <w:tcW w:w="1653" w:type="dxa"/>
            <w:vAlign w:val="center"/>
          </w:tcPr>
          <w:p>
            <w:pPr>
              <w:jc w:val="center"/>
              <w:rPr>
                <w:rFonts w:ascii="仿宋" w:hAnsi="仿宋" w:cs="Arial"/>
                <w:b/>
                <w:color w:val="auto"/>
              </w:rPr>
            </w:pPr>
            <w:r>
              <w:rPr>
                <w:rFonts w:hint="eastAsia" w:ascii="仿宋" w:hAnsi="仿宋" w:cs="Arial"/>
                <w:b/>
                <w:color w:val="auto"/>
              </w:rPr>
              <w:t>用户名称</w:t>
            </w:r>
          </w:p>
        </w:tc>
        <w:tc>
          <w:tcPr>
            <w:tcW w:w="1515" w:type="dxa"/>
            <w:vAlign w:val="center"/>
          </w:tcPr>
          <w:p>
            <w:pPr>
              <w:jc w:val="center"/>
              <w:rPr>
                <w:rFonts w:ascii="仿宋" w:hAnsi="仿宋" w:cs="Arial"/>
                <w:b/>
                <w:color w:val="auto"/>
              </w:rPr>
            </w:pPr>
            <w:r>
              <w:rPr>
                <w:rFonts w:ascii="仿宋" w:hAnsi="仿宋" w:cs="Arial"/>
                <w:b/>
                <w:color w:val="auto"/>
              </w:rPr>
              <w:t>项目名称</w:t>
            </w:r>
          </w:p>
        </w:tc>
        <w:tc>
          <w:tcPr>
            <w:tcW w:w="1332" w:type="dxa"/>
            <w:vAlign w:val="center"/>
          </w:tcPr>
          <w:p>
            <w:pPr>
              <w:jc w:val="center"/>
              <w:rPr>
                <w:rFonts w:ascii="仿宋" w:hAnsi="仿宋" w:cs="Arial"/>
                <w:b/>
                <w:color w:val="auto"/>
              </w:rPr>
            </w:pPr>
            <w:r>
              <w:rPr>
                <w:rFonts w:ascii="仿宋" w:hAnsi="仿宋" w:cs="Arial"/>
                <w:b/>
                <w:color w:val="auto"/>
              </w:rPr>
              <w:t>完成时间</w:t>
            </w:r>
          </w:p>
        </w:tc>
        <w:tc>
          <w:tcPr>
            <w:tcW w:w="1632" w:type="dxa"/>
            <w:vAlign w:val="center"/>
          </w:tcPr>
          <w:p>
            <w:pPr>
              <w:ind w:firstLine="120" w:firstLineChars="50"/>
              <w:jc w:val="center"/>
              <w:rPr>
                <w:rFonts w:ascii="仿宋" w:hAnsi="仿宋" w:cs="Arial"/>
                <w:b/>
                <w:color w:val="auto"/>
              </w:rPr>
            </w:pPr>
            <w:r>
              <w:rPr>
                <w:rFonts w:ascii="仿宋" w:hAnsi="仿宋" w:cs="Arial"/>
                <w:b/>
                <w:color w:val="auto"/>
              </w:rPr>
              <w:t>合同金额</w:t>
            </w:r>
          </w:p>
        </w:tc>
        <w:tc>
          <w:tcPr>
            <w:tcW w:w="1593" w:type="dxa"/>
            <w:tcBorders>
              <w:left w:val="single" w:color="auto" w:sz="4" w:space="0"/>
            </w:tcBorders>
            <w:vAlign w:val="center"/>
          </w:tcPr>
          <w:p>
            <w:pPr>
              <w:jc w:val="center"/>
              <w:rPr>
                <w:rFonts w:ascii="仿宋" w:hAnsi="仿宋" w:cs="Arial"/>
                <w:b/>
                <w:color w:val="auto"/>
              </w:rPr>
            </w:pPr>
            <w:r>
              <w:rPr>
                <w:rFonts w:hint="eastAsia" w:ascii="仿宋" w:hAnsi="仿宋" w:cs="Arial"/>
                <w:b/>
                <w:color w:val="auto"/>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1" w:hRule="atLeast"/>
          <w:jc w:val="center"/>
        </w:trPr>
        <w:tc>
          <w:tcPr>
            <w:tcW w:w="825" w:type="dxa"/>
            <w:vAlign w:val="center"/>
          </w:tcPr>
          <w:p>
            <w:pPr>
              <w:jc w:val="center"/>
              <w:rPr>
                <w:rFonts w:ascii="仿宋" w:hAnsi="仿宋" w:cs="Arial"/>
                <w:color w:val="auto"/>
              </w:rPr>
            </w:pPr>
          </w:p>
        </w:tc>
        <w:tc>
          <w:tcPr>
            <w:tcW w:w="1653" w:type="dxa"/>
            <w:vAlign w:val="center"/>
          </w:tcPr>
          <w:p>
            <w:pPr>
              <w:jc w:val="center"/>
              <w:rPr>
                <w:rFonts w:ascii="仿宋" w:hAnsi="仿宋" w:cs="Arial"/>
                <w:color w:val="auto"/>
              </w:rPr>
            </w:pPr>
          </w:p>
        </w:tc>
        <w:tc>
          <w:tcPr>
            <w:tcW w:w="1515" w:type="dxa"/>
            <w:vAlign w:val="center"/>
          </w:tcPr>
          <w:p>
            <w:pPr>
              <w:jc w:val="center"/>
              <w:rPr>
                <w:rFonts w:ascii="仿宋" w:hAnsi="仿宋" w:cs="Arial"/>
                <w:color w:val="auto"/>
              </w:rPr>
            </w:pPr>
          </w:p>
        </w:tc>
        <w:tc>
          <w:tcPr>
            <w:tcW w:w="1332" w:type="dxa"/>
            <w:vAlign w:val="center"/>
          </w:tcPr>
          <w:p>
            <w:pPr>
              <w:jc w:val="center"/>
              <w:rPr>
                <w:rFonts w:ascii="仿宋" w:hAnsi="仿宋" w:cs="Arial"/>
                <w:color w:val="auto"/>
              </w:rPr>
            </w:pPr>
          </w:p>
        </w:tc>
        <w:tc>
          <w:tcPr>
            <w:tcW w:w="1632" w:type="dxa"/>
            <w:vAlign w:val="center"/>
          </w:tcPr>
          <w:p>
            <w:pPr>
              <w:jc w:val="center"/>
              <w:rPr>
                <w:rFonts w:ascii="仿宋" w:hAnsi="仿宋" w:cs="Arial"/>
                <w:color w:val="auto"/>
              </w:rPr>
            </w:pPr>
          </w:p>
        </w:tc>
        <w:tc>
          <w:tcPr>
            <w:tcW w:w="1593" w:type="dxa"/>
            <w:tcBorders>
              <w:left w:val="single" w:color="auto" w:sz="4" w:space="0"/>
            </w:tcBorders>
            <w:vAlign w:val="center"/>
          </w:tcPr>
          <w:p>
            <w:pPr>
              <w:jc w:val="center"/>
              <w:rPr>
                <w:rFonts w:ascii="仿宋" w:hAnsi="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1" w:hRule="atLeast"/>
          <w:jc w:val="center"/>
        </w:trPr>
        <w:tc>
          <w:tcPr>
            <w:tcW w:w="825" w:type="dxa"/>
            <w:vAlign w:val="center"/>
          </w:tcPr>
          <w:p>
            <w:pPr>
              <w:jc w:val="center"/>
              <w:rPr>
                <w:rFonts w:ascii="仿宋" w:hAnsi="仿宋" w:cs="Arial"/>
                <w:color w:val="auto"/>
              </w:rPr>
            </w:pPr>
          </w:p>
        </w:tc>
        <w:tc>
          <w:tcPr>
            <w:tcW w:w="1653" w:type="dxa"/>
            <w:vAlign w:val="center"/>
          </w:tcPr>
          <w:p>
            <w:pPr>
              <w:jc w:val="center"/>
              <w:rPr>
                <w:rFonts w:ascii="仿宋" w:hAnsi="仿宋" w:cs="Arial"/>
                <w:color w:val="auto"/>
              </w:rPr>
            </w:pPr>
          </w:p>
        </w:tc>
        <w:tc>
          <w:tcPr>
            <w:tcW w:w="1515" w:type="dxa"/>
            <w:vAlign w:val="center"/>
          </w:tcPr>
          <w:p>
            <w:pPr>
              <w:jc w:val="center"/>
              <w:rPr>
                <w:rFonts w:ascii="仿宋" w:hAnsi="仿宋" w:cs="Arial"/>
                <w:color w:val="auto"/>
              </w:rPr>
            </w:pPr>
          </w:p>
        </w:tc>
        <w:tc>
          <w:tcPr>
            <w:tcW w:w="1332" w:type="dxa"/>
            <w:vAlign w:val="center"/>
          </w:tcPr>
          <w:p>
            <w:pPr>
              <w:jc w:val="center"/>
              <w:rPr>
                <w:rFonts w:ascii="仿宋" w:hAnsi="仿宋" w:cs="Arial"/>
                <w:color w:val="auto"/>
              </w:rPr>
            </w:pPr>
          </w:p>
        </w:tc>
        <w:tc>
          <w:tcPr>
            <w:tcW w:w="1632" w:type="dxa"/>
            <w:vAlign w:val="center"/>
          </w:tcPr>
          <w:p>
            <w:pPr>
              <w:jc w:val="center"/>
              <w:rPr>
                <w:rFonts w:ascii="仿宋" w:hAnsi="仿宋" w:cs="Arial"/>
                <w:color w:val="auto"/>
              </w:rPr>
            </w:pPr>
          </w:p>
        </w:tc>
        <w:tc>
          <w:tcPr>
            <w:tcW w:w="1593" w:type="dxa"/>
            <w:tcBorders>
              <w:left w:val="single" w:color="auto" w:sz="4" w:space="0"/>
            </w:tcBorders>
            <w:vAlign w:val="center"/>
          </w:tcPr>
          <w:p>
            <w:pPr>
              <w:jc w:val="center"/>
              <w:rPr>
                <w:rFonts w:ascii="仿宋" w:hAnsi="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1" w:hRule="atLeast"/>
          <w:jc w:val="center"/>
        </w:trPr>
        <w:tc>
          <w:tcPr>
            <w:tcW w:w="825" w:type="dxa"/>
            <w:vAlign w:val="center"/>
          </w:tcPr>
          <w:p>
            <w:pPr>
              <w:jc w:val="center"/>
              <w:rPr>
                <w:rFonts w:ascii="仿宋" w:hAnsi="仿宋" w:cs="Arial"/>
                <w:color w:val="auto"/>
              </w:rPr>
            </w:pPr>
          </w:p>
        </w:tc>
        <w:tc>
          <w:tcPr>
            <w:tcW w:w="1653" w:type="dxa"/>
            <w:vAlign w:val="center"/>
          </w:tcPr>
          <w:p>
            <w:pPr>
              <w:jc w:val="center"/>
              <w:rPr>
                <w:rFonts w:ascii="仿宋" w:hAnsi="仿宋" w:cs="Arial"/>
                <w:color w:val="auto"/>
              </w:rPr>
            </w:pPr>
          </w:p>
        </w:tc>
        <w:tc>
          <w:tcPr>
            <w:tcW w:w="1515" w:type="dxa"/>
            <w:vAlign w:val="center"/>
          </w:tcPr>
          <w:p>
            <w:pPr>
              <w:jc w:val="center"/>
              <w:rPr>
                <w:rFonts w:ascii="仿宋" w:hAnsi="仿宋" w:cs="Arial"/>
                <w:color w:val="auto"/>
              </w:rPr>
            </w:pPr>
          </w:p>
        </w:tc>
        <w:tc>
          <w:tcPr>
            <w:tcW w:w="1332" w:type="dxa"/>
            <w:vAlign w:val="center"/>
          </w:tcPr>
          <w:p>
            <w:pPr>
              <w:jc w:val="center"/>
              <w:rPr>
                <w:rFonts w:ascii="仿宋" w:hAnsi="仿宋" w:cs="Arial"/>
                <w:color w:val="auto"/>
              </w:rPr>
            </w:pPr>
          </w:p>
        </w:tc>
        <w:tc>
          <w:tcPr>
            <w:tcW w:w="1632" w:type="dxa"/>
            <w:vAlign w:val="center"/>
          </w:tcPr>
          <w:p>
            <w:pPr>
              <w:jc w:val="center"/>
              <w:rPr>
                <w:rFonts w:ascii="仿宋" w:hAnsi="仿宋" w:cs="Arial"/>
                <w:color w:val="auto"/>
              </w:rPr>
            </w:pPr>
          </w:p>
        </w:tc>
        <w:tc>
          <w:tcPr>
            <w:tcW w:w="1593" w:type="dxa"/>
            <w:tcBorders>
              <w:left w:val="single" w:color="auto" w:sz="4" w:space="0"/>
            </w:tcBorders>
            <w:vAlign w:val="center"/>
          </w:tcPr>
          <w:p>
            <w:pPr>
              <w:jc w:val="center"/>
              <w:rPr>
                <w:rFonts w:ascii="仿宋" w:hAnsi="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1" w:hRule="atLeast"/>
          <w:jc w:val="center"/>
        </w:trPr>
        <w:tc>
          <w:tcPr>
            <w:tcW w:w="825" w:type="dxa"/>
            <w:vAlign w:val="center"/>
          </w:tcPr>
          <w:p>
            <w:pPr>
              <w:jc w:val="center"/>
              <w:rPr>
                <w:rFonts w:ascii="仿宋" w:hAnsi="仿宋" w:cs="Arial"/>
                <w:color w:val="auto"/>
              </w:rPr>
            </w:pPr>
          </w:p>
        </w:tc>
        <w:tc>
          <w:tcPr>
            <w:tcW w:w="1653" w:type="dxa"/>
            <w:tcBorders>
              <w:right w:val="single" w:color="auto" w:sz="4" w:space="0"/>
            </w:tcBorders>
            <w:vAlign w:val="center"/>
          </w:tcPr>
          <w:p>
            <w:pPr>
              <w:jc w:val="center"/>
              <w:rPr>
                <w:rFonts w:ascii="仿宋" w:hAnsi="仿宋" w:cs="Arial"/>
                <w:color w:val="auto"/>
              </w:rPr>
            </w:pPr>
          </w:p>
        </w:tc>
        <w:tc>
          <w:tcPr>
            <w:tcW w:w="1515" w:type="dxa"/>
            <w:tcBorders>
              <w:left w:val="single" w:color="auto" w:sz="4" w:space="0"/>
            </w:tcBorders>
            <w:vAlign w:val="center"/>
          </w:tcPr>
          <w:p>
            <w:pPr>
              <w:jc w:val="center"/>
              <w:rPr>
                <w:rFonts w:ascii="仿宋" w:hAnsi="仿宋" w:cs="Arial"/>
                <w:color w:val="auto"/>
              </w:rPr>
            </w:pPr>
          </w:p>
        </w:tc>
        <w:tc>
          <w:tcPr>
            <w:tcW w:w="1332" w:type="dxa"/>
            <w:vAlign w:val="center"/>
          </w:tcPr>
          <w:p>
            <w:pPr>
              <w:jc w:val="center"/>
              <w:rPr>
                <w:rFonts w:ascii="仿宋" w:hAnsi="仿宋" w:cs="Arial"/>
                <w:color w:val="auto"/>
              </w:rPr>
            </w:pPr>
          </w:p>
        </w:tc>
        <w:tc>
          <w:tcPr>
            <w:tcW w:w="1632" w:type="dxa"/>
            <w:vAlign w:val="center"/>
          </w:tcPr>
          <w:p>
            <w:pPr>
              <w:jc w:val="center"/>
              <w:rPr>
                <w:rFonts w:ascii="仿宋" w:hAnsi="仿宋" w:cs="Arial"/>
                <w:color w:val="auto"/>
              </w:rPr>
            </w:pPr>
          </w:p>
        </w:tc>
        <w:tc>
          <w:tcPr>
            <w:tcW w:w="1593" w:type="dxa"/>
            <w:tcBorders>
              <w:left w:val="single" w:color="auto" w:sz="4" w:space="0"/>
            </w:tcBorders>
            <w:vAlign w:val="center"/>
          </w:tcPr>
          <w:p>
            <w:pPr>
              <w:jc w:val="center"/>
              <w:rPr>
                <w:rFonts w:ascii="仿宋" w:hAnsi="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1" w:hRule="atLeast"/>
          <w:jc w:val="center"/>
        </w:trPr>
        <w:tc>
          <w:tcPr>
            <w:tcW w:w="825" w:type="dxa"/>
            <w:vAlign w:val="center"/>
          </w:tcPr>
          <w:p>
            <w:pPr>
              <w:jc w:val="center"/>
              <w:rPr>
                <w:rFonts w:ascii="仿宋" w:hAnsi="仿宋" w:cs="Arial"/>
                <w:color w:val="auto"/>
              </w:rPr>
            </w:pPr>
          </w:p>
        </w:tc>
        <w:tc>
          <w:tcPr>
            <w:tcW w:w="1653" w:type="dxa"/>
            <w:vAlign w:val="center"/>
          </w:tcPr>
          <w:p>
            <w:pPr>
              <w:jc w:val="center"/>
              <w:rPr>
                <w:rFonts w:ascii="仿宋" w:hAnsi="仿宋" w:cs="Arial"/>
                <w:color w:val="auto"/>
              </w:rPr>
            </w:pPr>
          </w:p>
        </w:tc>
        <w:tc>
          <w:tcPr>
            <w:tcW w:w="1515" w:type="dxa"/>
            <w:vAlign w:val="center"/>
          </w:tcPr>
          <w:p>
            <w:pPr>
              <w:jc w:val="center"/>
              <w:rPr>
                <w:rFonts w:ascii="仿宋" w:hAnsi="仿宋" w:cs="Arial"/>
                <w:color w:val="auto"/>
              </w:rPr>
            </w:pPr>
          </w:p>
        </w:tc>
        <w:tc>
          <w:tcPr>
            <w:tcW w:w="1332" w:type="dxa"/>
            <w:vAlign w:val="center"/>
          </w:tcPr>
          <w:p>
            <w:pPr>
              <w:jc w:val="center"/>
              <w:rPr>
                <w:rFonts w:ascii="仿宋" w:hAnsi="仿宋" w:cs="Arial"/>
                <w:color w:val="auto"/>
              </w:rPr>
            </w:pPr>
          </w:p>
        </w:tc>
        <w:tc>
          <w:tcPr>
            <w:tcW w:w="1632" w:type="dxa"/>
            <w:tcBorders>
              <w:right w:val="single" w:color="auto" w:sz="4" w:space="0"/>
            </w:tcBorders>
            <w:vAlign w:val="center"/>
          </w:tcPr>
          <w:p>
            <w:pPr>
              <w:jc w:val="center"/>
              <w:rPr>
                <w:rFonts w:ascii="仿宋" w:hAnsi="仿宋" w:cs="Arial"/>
                <w:color w:val="auto"/>
              </w:rPr>
            </w:pPr>
          </w:p>
        </w:tc>
        <w:tc>
          <w:tcPr>
            <w:tcW w:w="1593" w:type="dxa"/>
            <w:tcBorders>
              <w:left w:val="single" w:color="auto" w:sz="4" w:space="0"/>
            </w:tcBorders>
            <w:vAlign w:val="center"/>
          </w:tcPr>
          <w:p>
            <w:pPr>
              <w:jc w:val="center"/>
              <w:rPr>
                <w:rFonts w:ascii="仿宋" w:hAnsi="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1" w:hRule="atLeast"/>
          <w:jc w:val="center"/>
        </w:trPr>
        <w:tc>
          <w:tcPr>
            <w:tcW w:w="825" w:type="dxa"/>
            <w:vAlign w:val="center"/>
          </w:tcPr>
          <w:p>
            <w:pPr>
              <w:jc w:val="center"/>
              <w:rPr>
                <w:rFonts w:ascii="仿宋" w:hAnsi="仿宋" w:cs="Arial"/>
                <w:color w:val="auto"/>
              </w:rPr>
            </w:pPr>
          </w:p>
        </w:tc>
        <w:tc>
          <w:tcPr>
            <w:tcW w:w="1653" w:type="dxa"/>
            <w:vAlign w:val="center"/>
          </w:tcPr>
          <w:p>
            <w:pPr>
              <w:jc w:val="center"/>
              <w:rPr>
                <w:rFonts w:ascii="仿宋" w:hAnsi="仿宋" w:cs="Arial"/>
                <w:color w:val="auto"/>
              </w:rPr>
            </w:pPr>
          </w:p>
        </w:tc>
        <w:tc>
          <w:tcPr>
            <w:tcW w:w="1515" w:type="dxa"/>
            <w:vAlign w:val="center"/>
          </w:tcPr>
          <w:p>
            <w:pPr>
              <w:jc w:val="center"/>
              <w:rPr>
                <w:rFonts w:ascii="仿宋" w:hAnsi="仿宋" w:cs="Arial"/>
                <w:color w:val="auto"/>
              </w:rPr>
            </w:pPr>
          </w:p>
        </w:tc>
        <w:tc>
          <w:tcPr>
            <w:tcW w:w="1332" w:type="dxa"/>
            <w:vAlign w:val="center"/>
          </w:tcPr>
          <w:p>
            <w:pPr>
              <w:jc w:val="center"/>
              <w:rPr>
                <w:rFonts w:ascii="仿宋" w:hAnsi="仿宋" w:cs="Arial"/>
                <w:color w:val="auto"/>
              </w:rPr>
            </w:pPr>
          </w:p>
        </w:tc>
        <w:tc>
          <w:tcPr>
            <w:tcW w:w="1632" w:type="dxa"/>
            <w:tcBorders>
              <w:right w:val="single" w:color="auto" w:sz="4" w:space="0"/>
            </w:tcBorders>
            <w:vAlign w:val="center"/>
          </w:tcPr>
          <w:p>
            <w:pPr>
              <w:jc w:val="center"/>
              <w:rPr>
                <w:rFonts w:ascii="仿宋" w:hAnsi="仿宋" w:cs="Arial"/>
                <w:color w:val="auto"/>
              </w:rPr>
            </w:pPr>
          </w:p>
        </w:tc>
        <w:tc>
          <w:tcPr>
            <w:tcW w:w="1593" w:type="dxa"/>
            <w:tcBorders>
              <w:left w:val="single" w:color="auto" w:sz="4" w:space="0"/>
            </w:tcBorders>
            <w:vAlign w:val="center"/>
          </w:tcPr>
          <w:p>
            <w:pPr>
              <w:jc w:val="center"/>
              <w:rPr>
                <w:rFonts w:ascii="仿宋" w:hAnsi="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1" w:hRule="atLeast"/>
          <w:jc w:val="center"/>
        </w:trPr>
        <w:tc>
          <w:tcPr>
            <w:tcW w:w="825" w:type="dxa"/>
            <w:vAlign w:val="center"/>
          </w:tcPr>
          <w:p>
            <w:pPr>
              <w:jc w:val="center"/>
              <w:rPr>
                <w:rFonts w:ascii="仿宋" w:hAnsi="仿宋" w:cs="Arial"/>
                <w:color w:val="auto"/>
              </w:rPr>
            </w:pPr>
          </w:p>
        </w:tc>
        <w:tc>
          <w:tcPr>
            <w:tcW w:w="1653" w:type="dxa"/>
            <w:vAlign w:val="center"/>
          </w:tcPr>
          <w:p>
            <w:pPr>
              <w:jc w:val="center"/>
              <w:rPr>
                <w:rFonts w:ascii="仿宋" w:hAnsi="仿宋" w:cs="Arial"/>
                <w:color w:val="auto"/>
              </w:rPr>
            </w:pPr>
          </w:p>
        </w:tc>
        <w:tc>
          <w:tcPr>
            <w:tcW w:w="1515" w:type="dxa"/>
            <w:vAlign w:val="center"/>
          </w:tcPr>
          <w:p>
            <w:pPr>
              <w:jc w:val="center"/>
              <w:rPr>
                <w:rFonts w:ascii="仿宋" w:hAnsi="仿宋" w:cs="Arial"/>
                <w:color w:val="auto"/>
              </w:rPr>
            </w:pPr>
          </w:p>
        </w:tc>
        <w:tc>
          <w:tcPr>
            <w:tcW w:w="1332" w:type="dxa"/>
            <w:vAlign w:val="center"/>
          </w:tcPr>
          <w:p>
            <w:pPr>
              <w:jc w:val="center"/>
              <w:rPr>
                <w:rFonts w:ascii="仿宋" w:hAnsi="仿宋" w:cs="Arial"/>
                <w:color w:val="auto"/>
              </w:rPr>
            </w:pPr>
          </w:p>
        </w:tc>
        <w:tc>
          <w:tcPr>
            <w:tcW w:w="1632" w:type="dxa"/>
            <w:tcBorders>
              <w:right w:val="single" w:color="auto" w:sz="4" w:space="0"/>
            </w:tcBorders>
            <w:vAlign w:val="center"/>
          </w:tcPr>
          <w:p>
            <w:pPr>
              <w:jc w:val="center"/>
              <w:rPr>
                <w:rFonts w:ascii="仿宋" w:hAnsi="仿宋" w:cs="Arial"/>
                <w:color w:val="auto"/>
              </w:rPr>
            </w:pPr>
          </w:p>
        </w:tc>
        <w:tc>
          <w:tcPr>
            <w:tcW w:w="1593" w:type="dxa"/>
            <w:tcBorders>
              <w:left w:val="single" w:color="auto" w:sz="4" w:space="0"/>
            </w:tcBorders>
            <w:vAlign w:val="center"/>
          </w:tcPr>
          <w:p>
            <w:pPr>
              <w:jc w:val="center"/>
              <w:rPr>
                <w:rFonts w:ascii="仿宋" w:hAnsi="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36" w:hRule="atLeast"/>
          <w:jc w:val="center"/>
        </w:trPr>
        <w:tc>
          <w:tcPr>
            <w:tcW w:w="825" w:type="dxa"/>
            <w:tcBorders>
              <w:bottom w:val="single" w:color="auto" w:sz="4" w:space="0"/>
            </w:tcBorders>
            <w:vAlign w:val="center"/>
          </w:tcPr>
          <w:p>
            <w:pPr>
              <w:jc w:val="center"/>
              <w:rPr>
                <w:rFonts w:ascii="仿宋" w:hAnsi="仿宋" w:cs="Arial"/>
                <w:color w:val="auto"/>
              </w:rPr>
            </w:pPr>
          </w:p>
        </w:tc>
        <w:tc>
          <w:tcPr>
            <w:tcW w:w="1653" w:type="dxa"/>
            <w:tcBorders>
              <w:bottom w:val="single" w:color="auto" w:sz="4" w:space="0"/>
            </w:tcBorders>
            <w:vAlign w:val="center"/>
          </w:tcPr>
          <w:p>
            <w:pPr>
              <w:jc w:val="center"/>
              <w:rPr>
                <w:rFonts w:ascii="仿宋" w:hAnsi="仿宋" w:cs="Arial"/>
                <w:color w:val="auto"/>
              </w:rPr>
            </w:pPr>
          </w:p>
        </w:tc>
        <w:tc>
          <w:tcPr>
            <w:tcW w:w="1515" w:type="dxa"/>
            <w:tcBorders>
              <w:bottom w:val="single" w:color="auto" w:sz="4" w:space="0"/>
            </w:tcBorders>
            <w:vAlign w:val="center"/>
          </w:tcPr>
          <w:p>
            <w:pPr>
              <w:jc w:val="center"/>
              <w:rPr>
                <w:rFonts w:ascii="仿宋" w:hAnsi="仿宋" w:cs="Arial"/>
                <w:color w:val="auto"/>
              </w:rPr>
            </w:pPr>
          </w:p>
        </w:tc>
        <w:tc>
          <w:tcPr>
            <w:tcW w:w="1332" w:type="dxa"/>
            <w:tcBorders>
              <w:bottom w:val="single" w:color="auto" w:sz="4" w:space="0"/>
            </w:tcBorders>
            <w:vAlign w:val="center"/>
          </w:tcPr>
          <w:p>
            <w:pPr>
              <w:jc w:val="center"/>
              <w:rPr>
                <w:rFonts w:ascii="仿宋" w:hAnsi="仿宋" w:cs="Arial"/>
                <w:color w:val="auto"/>
              </w:rPr>
            </w:pPr>
          </w:p>
        </w:tc>
        <w:tc>
          <w:tcPr>
            <w:tcW w:w="1632" w:type="dxa"/>
            <w:tcBorders>
              <w:bottom w:val="single" w:color="auto" w:sz="4" w:space="0"/>
              <w:right w:val="single" w:color="auto" w:sz="4" w:space="0"/>
            </w:tcBorders>
            <w:vAlign w:val="center"/>
          </w:tcPr>
          <w:p>
            <w:pPr>
              <w:jc w:val="center"/>
              <w:rPr>
                <w:rFonts w:ascii="仿宋" w:hAnsi="仿宋" w:cs="Arial"/>
                <w:color w:val="auto"/>
              </w:rPr>
            </w:pPr>
          </w:p>
        </w:tc>
        <w:tc>
          <w:tcPr>
            <w:tcW w:w="1593" w:type="dxa"/>
            <w:tcBorders>
              <w:left w:val="single" w:color="auto" w:sz="4" w:space="0"/>
              <w:bottom w:val="single" w:color="auto" w:sz="4" w:space="0"/>
            </w:tcBorders>
            <w:vAlign w:val="center"/>
          </w:tcPr>
          <w:p>
            <w:pPr>
              <w:jc w:val="center"/>
              <w:rPr>
                <w:rFonts w:ascii="仿宋" w:hAnsi="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7" w:hRule="atLeast"/>
          <w:jc w:val="center"/>
        </w:trPr>
        <w:tc>
          <w:tcPr>
            <w:tcW w:w="825" w:type="dxa"/>
            <w:tcBorders>
              <w:top w:val="single" w:color="auto" w:sz="4" w:space="0"/>
              <w:bottom w:val="single" w:color="auto" w:sz="4" w:space="0"/>
            </w:tcBorders>
            <w:vAlign w:val="center"/>
          </w:tcPr>
          <w:p>
            <w:pPr>
              <w:jc w:val="center"/>
              <w:rPr>
                <w:rFonts w:ascii="仿宋" w:hAnsi="仿宋" w:cs="Arial"/>
                <w:color w:val="auto"/>
              </w:rPr>
            </w:pPr>
          </w:p>
        </w:tc>
        <w:tc>
          <w:tcPr>
            <w:tcW w:w="1653" w:type="dxa"/>
            <w:tcBorders>
              <w:top w:val="single" w:color="auto" w:sz="4" w:space="0"/>
              <w:bottom w:val="single" w:color="auto" w:sz="4" w:space="0"/>
            </w:tcBorders>
            <w:vAlign w:val="center"/>
          </w:tcPr>
          <w:p>
            <w:pPr>
              <w:jc w:val="center"/>
              <w:rPr>
                <w:rFonts w:ascii="仿宋" w:hAnsi="仿宋" w:cs="Arial"/>
                <w:color w:val="auto"/>
              </w:rPr>
            </w:pPr>
          </w:p>
        </w:tc>
        <w:tc>
          <w:tcPr>
            <w:tcW w:w="1515" w:type="dxa"/>
            <w:tcBorders>
              <w:top w:val="single" w:color="auto" w:sz="4" w:space="0"/>
              <w:bottom w:val="single" w:color="auto" w:sz="4" w:space="0"/>
            </w:tcBorders>
            <w:vAlign w:val="center"/>
          </w:tcPr>
          <w:p>
            <w:pPr>
              <w:jc w:val="center"/>
              <w:rPr>
                <w:rFonts w:ascii="仿宋" w:hAnsi="仿宋" w:cs="Arial"/>
                <w:color w:val="auto"/>
              </w:rPr>
            </w:pPr>
          </w:p>
        </w:tc>
        <w:tc>
          <w:tcPr>
            <w:tcW w:w="1332" w:type="dxa"/>
            <w:tcBorders>
              <w:top w:val="single" w:color="auto" w:sz="4" w:space="0"/>
              <w:bottom w:val="single" w:color="auto" w:sz="4" w:space="0"/>
            </w:tcBorders>
            <w:vAlign w:val="center"/>
          </w:tcPr>
          <w:p>
            <w:pPr>
              <w:jc w:val="center"/>
              <w:rPr>
                <w:rFonts w:ascii="仿宋" w:hAnsi="仿宋" w:cs="Arial"/>
                <w:color w:val="auto"/>
              </w:rPr>
            </w:pPr>
          </w:p>
        </w:tc>
        <w:tc>
          <w:tcPr>
            <w:tcW w:w="1632" w:type="dxa"/>
            <w:tcBorders>
              <w:top w:val="single" w:color="auto" w:sz="4" w:space="0"/>
              <w:bottom w:val="single" w:color="auto" w:sz="4" w:space="0"/>
              <w:right w:val="single" w:color="auto" w:sz="4" w:space="0"/>
            </w:tcBorders>
            <w:vAlign w:val="center"/>
          </w:tcPr>
          <w:p>
            <w:pPr>
              <w:jc w:val="center"/>
              <w:rPr>
                <w:rFonts w:ascii="仿宋" w:hAnsi="仿宋" w:cs="Arial"/>
                <w:color w:val="auto"/>
              </w:rPr>
            </w:pPr>
          </w:p>
        </w:tc>
        <w:tc>
          <w:tcPr>
            <w:tcW w:w="1593" w:type="dxa"/>
            <w:tcBorders>
              <w:top w:val="single" w:color="auto" w:sz="4" w:space="0"/>
              <w:left w:val="single" w:color="auto" w:sz="4" w:space="0"/>
              <w:bottom w:val="single" w:color="auto" w:sz="4" w:space="0"/>
            </w:tcBorders>
            <w:vAlign w:val="center"/>
          </w:tcPr>
          <w:p>
            <w:pPr>
              <w:jc w:val="center"/>
              <w:rPr>
                <w:rFonts w:ascii="仿宋" w:hAnsi="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7" w:hRule="atLeast"/>
          <w:jc w:val="center"/>
        </w:trPr>
        <w:tc>
          <w:tcPr>
            <w:tcW w:w="825" w:type="dxa"/>
            <w:tcBorders>
              <w:top w:val="single" w:color="auto" w:sz="4" w:space="0"/>
              <w:bottom w:val="single" w:color="auto" w:sz="4" w:space="0"/>
            </w:tcBorders>
            <w:vAlign w:val="center"/>
          </w:tcPr>
          <w:p>
            <w:pPr>
              <w:jc w:val="center"/>
              <w:rPr>
                <w:rFonts w:ascii="仿宋" w:hAnsi="仿宋" w:cs="Arial"/>
                <w:color w:val="auto"/>
              </w:rPr>
            </w:pPr>
          </w:p>
        </w:tc>
        <w:tc>
          <w:tcPr>
            <w:tcW w:w="1653" w:type="dxa"/>
            <w:tcBorders>
              <w:top w:val="single" w:color="auto" w:sz="4" w:space="0"/>
              <w:bottom w:val="single" w:color="auto" w:sz="4" w:space="0"/>
            </w:tcBorders>
            <w:vAlign w:val="center"/>
          </w:tcPr>
          <w:p>
            <w:pPr>
              <w:jc w:val="center"/>
              <w:rPr>
                <w:rFonts w:ascii="仿宋" w:hAnsi="仿宋" w:cs="Arial"/>
                <w:color w:val="auto"/>
              </w:rPr>
            </w:pPr>
          </w:p>
        </w:tc>
        <w:tc>
          <w:tcPr>
            <w:tcW w:w="1515" w:type="dxa"/>
            <w:tcBorders>
              <w:top w:val="single" w:color="auto" w:sz="4" w:space="0"/>
              <w:bottom w:val="single" w:color="auto" w:sz="4" w:space="0"/>
            </w:tcBorders>
            <w:vAlign w:val="center"/>
          </w:tcPr>
          <w:p>
            <w:pPr>
              <w:jc w:val="center"/>
              <w:rPr>
                <w:rFonts w:ascii="仿宋" w:hAnsi="仿宋" w:cs="Arial"/>
                <w:color w:val="auto"/>
              </w:rPr>
            </w:pPr>
          </w:p>
        </w:tc>
        <w:tc>
          <w:tcPr>
            <w:tcW w:w="1332" w:type="dxa"/>
            <w:tcBorders>
              <w:top w:val="single" w:color="auto" w:sz="4" w:space="0"/>
              <w:bottom w:val="single" w:color="auto" w:sz="4" w:space="0"/>
            </w:tcBorders>
            <w:vAlign w:val="center"/>
          </w:tcPr>
          <w:p>
            <w:pPr>
              <w:jc w:val="center"/>
              <w:rPr>
                <w:rFonts w:ascii="仿宋" w:hAnsi="仿宋" w:cs="Arial"/>
                <w:color w:val="auto"/>
              </w:rPr>
            </w:pPr>
          </w:p>
        </w:tc>
        <w:tc>
          <w:tcPr>
            <w:tcW w:w="1632" w:type="dxa"/>
            <w:tcBorders>
              <w:top w:val="single" w:color="auto" w:sz="4" w:space="0"/>
              <w:bottom w:val="single" w:color="auto" w:sz="4" w:space="0"/>
              <w:right w:val="single" w:color="auto" w:sz="4" w:space="0"/>
            </w:tcBorders>
            <w:vAlign w:val="center"/>
          </w:tcPr>
          <w:p>
            <w:pPr>
              <w:jc w:val="center"/>
              <w:rPr>
                <w:rFonts w:ascii="仿宋" w:hAnsi="仿宋" w:cs="Arial"/>
                <w:color w:val="auto"/>
              </w:rPr>
            </w:pPr>
          </w:p>
        </w:tc>
        <w:tc>
          <w:tcPr>
            <w:tcW w:w="1593" w:type="dxa"/>
            <w:tcBorders>
              <w:top w:val="single" w:color="auto" w:sz="4" w:space="0"/>
              <w:left w:val="single" w:color="auto" w:sz="4" w:space="0"/>
              <w:bottom w:val="single" w:color="auto" w:sz="4" w:space="0"/>
            </w:tcBorders>
            <w:vAlign w:val="center"/>
          </w:tcPr>
          <w:p>
            <w:pPr>
              <w:jc w:val="center"/>
              <w:rPr>
                <w:rFonts w:ascii="仿宋" w:hAnsi="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73" w:hRule="atLeast"/>
          <w:jc w:val="center"/>
        </w:trPr>
        <w:tc>
          <w:tcPr>
            <w:tcW w:w="825" w:type="dxa"/>
            <w:tcBorders>
              <w:top w:val="single" w:color="auto" w:sz="4" w:space="0"/>
              <w:bottom w:val="single" w:color="auto" w:sz="4" w:space="0"/>
            </w:tcBorders>
            <w:vAlign w:val="center"/>
          </w:tcPr>
          <w:p>
            <w:pPr>
              <w:jc w:val="center"/>
              <w:rPr>
                <w:rFonts w:ascii="仿宋" w:hAnsi="仿宋" w:cs="Arial"/>
                <w:color w:val="auto"/>
              </w:rPr>
            </w:pPr>
          </w:p>
        </w:tc>
        <w:tc>
          <w:tcPr>
            <w:tcW w:w="1653" w:type="dxa"/>
            <w:tcBorders>
              <w:top w:val="single" w:color="auto" w:sz="4" w:space="0"/>
              <w:bottom w:val="single" w:color="auto" w:sz="4" w:space="0"/>
            </w:tcBorders>
            <w:vAlign w:val="center"/>
          </w:tcPr>
          <w:p>
            <w:pPr>
              <w:jc w:val="center"/>
              <w:rPr>
                <w:rFonts w:ascii="仿宋" w:hAnsi="仿宋" w:cs="Arial"/>
                <w:color w:val="auto"/>
              </w:rPr>
            </w:pPr>
          </w:p>
        </w:tc>
        <w:tc>
          <w:tcPr>
            <w:tcW w:w="1515" w:type="dxa"/>
            <w:tcBorders>
              <w:top w:val="single" w:color="auto" w:sz="4" w:space="0"/>
              <w:bottom w:val="single" w:color="auto" w:sz="4" w:space="0"/>
            </w:tcBorders>
            <w:vAlign w:val="center"/>
          </w:tcPr>
          <w:p>
            <w:pPr>
              <w:jc w:val="center"/>
              <w:rPr>
                <w:rFonts w:ascii="仿宋" w:hAnsi="仿宋" w:cs="Arial"/>
                <w:color w:val="auto"/>
              </w:rPr>
            </w:pPr>
          </w:p>
        </w:tc>
        <w:tc>
          <w:tcPr>
            <w:tcW w:w="1332" w:type="dxa"/>
            <w:tcBorders>
              <w:top w:val="single" w:color="auto" w:sz="4" w:space="0"/>
              <w:bottom w:val="single" w:color="auto" w:sz="4" w:space="0"/>
            </w:tcBorders>
            <w:vAlign w:val="center"/>
          </w:tcPr>
          <w:p>
            <w:pPr>
              <w:jc w:val="center"/>
              <w:rPr>
                <w:rFonts w:ascii="仿宋" w:hAnsi="仿宋" w:cs="Arial"/>
                <w:color w:val="auto"/>
              </w:rPr>
            </w:pPr>
          </w:p>
        </w:tc>
        <w:tc>
          <w:tcPr>
            <w:tcW w:w="1632" w:type="dxa"/>
            <w:tcBorders>
              <w:top w:val="single" w:color="auto" w:sz="4" w:space="0"/>
              <w:bottom w:val="single" w:color="auto" w:sz="4" w:space="0"/>
              <w:right w:val="single" w:color="auto" w:sz="4" w:space="0"/>
            </w:tcBorders>
            <w:vAlign w:val="center"/>
          </w:tcPr>
          <w:p>
            <w:pPr>
              <w:jc w:val="center"/>
              <w:rPr>
                <w:rFonts w:ascii="仿宋" w:hAnsi="仿宋" w:cs="Arial"/>
                <w:color w:val="auto"/>
              </w:rPr>
            </w:pPr>
          </w:p>
        </w:tc>
        <w:tc>
          <w:tcPr>
            <w:tcW w:w="1593" w:type="dxa"/>
            <w:tcBorders>
              <w:top w:val="single" w:color="auto" w:sz="4" w:space="0"/>
              <w:left w:val="single" w:color="auto" w:sz="4" w:space="0"/>
              <w:bottom w:val="single" w:color="auto" w:sz="4" w:space="0"/>
            </w:tcBorders>
            <w:vAlign w:val="center"/>
          </w:tcPr>
          <w:p>
            <w:pPr>
              <w:jc w:val="center"/>
              <w:rPr>
                <w:rFonts w:ascii="仿宋" w:hAnsi="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8" w:hRule="atLeast"/>
          <w:jc w:val="center"/>
        </w:trPr>
        <w:tc>
          <w:tcPr>
            <w:tcW w:w="825" w:type="dxa"/>
            <w:tcBorders>
              <w:top w:val="single" w:color="auto" w:sz="4" w:space="0"/>
            </w:tcBorders>
            <w:vAlign w:val="center"/>
          </w:tcPr>
          <w:p>
            <w:pPr>
              <w:jc w:val="center"/>
              <w:rPr>
                <w:rFonts w:ascii="仿宋" w:hAnsi="仿宋" w:cs="Arial"/>
                <w:color w:val="auto"/>
              </w:rPr>
            </w:pPr>
          </w:p>
        </w:tc>
        <w:tc>
          <w:tcPr>
            <w:tcW w:w="1653" w:type="dxa"/>
            <w:tcBorders>
              <w:top w:val="single" w:color="auto" w:sz="4" w:space="0"/>
            </w:tcBorders>
            <w:vAlign w:val="center"/>
          </w:tcPr>
          <w:p>
            <w:pPr>
              <w:jc w:val="center"/>
              <w:rPr>
                <w:rFonts w:ascii="仿宋" w:hAnsi="仿宋" w:cs="Arial"/>
                <w:color w:val="auto"/>
              </w:rPr>
            </w:pPr>
          </w:p>
        </w:tc>
        <w:tc>
          <w:tcPr>
            <w:tcW w:w="1515" w:type="dxa"/>
            <w:tcBorders>
              <w:top w:val="single" w:color="auto" w:sz="4" w:space="0"/>
            </w:tcBorders>
            <w:vAlign w:val="center"/>
          </w:tcPr>
          <w:p>
            <w:pPr>
              <w:jc w:val="center"/>
              <w:rPr>
                <w:rFonts w:ascii="仿宋" w:hAnsi="仿宋" w:cs="Arial"/>
                <w:color w:val="auto"/>
              </w:rPr>
            </w:pPr>
          </w:p>
        </w:tc>
        <w:tc>
          <w:tcPr>
            <w:tcW w:w="1332" w:type="dxa"/>
            <w:tcBorders>
              <w:top w:val="single" w:color="auto" w:sz="4" w:space="0"/>
            </w:tcBorders>
            <w:vAlign w:val="center"/>
          </w:tcPr>
          <w:p>
            <w:pPr>
              <w:jc w:val="center"/>
              <w:rPr>
                <w:rFonts w:ascii="仿宋" w:hAnsi="仿宋" w:cs="Arial"/>
                <w:color w:val="auto"/>
              </w:rPr>
            </w:pPr>
          </w:p>
        </w:tc>
        <w:tc>
          <w:tcPr>
            <w:tcW w:w="1632" w:type="dxa"/>
            <w:tcBorders>
              <w:top w:val="single" w:color="auto" w:sz="4" w:space="0"/>
              <w:right w:val="single" w:color="auto" w:sz="4" w:space="0"/>
            </w:tcBorders>
            <w:vAlign w:val="center"/>
          </w:tcPr>
          <w:p>
            <w:pPr>
              <w:jc w:val="center"/>
              <w:rPr>
                <w:rFonts w:ascii="仿宋" w:hAnsi="仿宋" w:cs="Arial"/>
                <w:color w:val="auto"/>
              </w:rPr>
            </w:pPr>
          </w:p>
        </w:tc>
        <w:tc>
          <w:tcPr>
            <w:tcW w:w="1593" w:type="dxa"/>
            <w:tcBorders>
              <w:top w:val="single" w:color="auto" w:sz="4" w:space="0"/>
              <w:left w:val="single" w:color="auto" w:sz="4" w:space="0"/>
            </w:tcBorders>
            <w:vAlign w:val="center"/>
          </w:tcPr>
          <w:p>
            <w:pPr>
              <w:jc w:val="center"/>
              <w:rPr>
                <w:rFonts w:ascii="仿宋" w:hAnsi="仿宋" w:cs="Arial"/>
                <w:color w:val="auto"/>
              </w:rPr>
            </w:pPr>
          </w:p>
        </w:tc>
      </w:tr>
    </w:tbl>
    <w:p>
      <w:pPr>
        <w:rPr>
          <w:color w:val="auto"/>
        </w:rPr>
      </w:pPr>
    </w:p>
    <w:p>
      <w:pPr>
        <w:widowControl/>
        <w:jc w:val="left"/>
        <w:rPr>
          <w:rFonts w:ascii="仿宋" w:hAnsi="仿宋"/>
          <w:color w:val="auto"/>
        </w:rPr>
      </w:pPr>
      <w:r>
        <w:rPr>
          <w:rFonts w:ascii="仿宋" w:hAnsi="仿宋"/>
          <w:color w:val="auto"/>
        </w:rPr>
        <w:br w:type="page"/>
      </w:r>
    </w:p>
    <w:p>
      <w:pPr>
        <w:widowControl/>
        <w:jc w:val="center"/>
        <w:outlineLvl w:val="1"/>
        <w:rPr>
          <w:rFonts w:ascii="仿宋" w:hAnsi="仿宋"/>
          <w:b/>
          <w:color w:val="auto"/>
          <w:sz w:val="32"/>
          <w:szCs w:val="32"/>
        </w:rPr>
      </w:pPr>
      <w:r>
        <w:rPr>
          <w:rFonts w:hint="eastAsia" w:ascii="仿宋" w:hAnsi="仿宋"/>
          <w:b/>
          <w:color w:val="auto"/>
          <w:sz w:val="32"/>
          <w:szCs w:val="32"/>
        </w:rPr>
        <w:t>九、实施</w:t>
      </w:r>
      <w:r>
        <w:rPr>
          <w:rFonts w:ascii="仿宋" w:hAnsi="仿宋"/>
          <w:b/>
          <w:color w:val="auto"/>
          <w:sz w:val="32"/>
          <w:szCs w:val="32"/>
        </w:rPr>
        <w:t>方案</w:t>
      </w:r>
    </w:p>
    <w:p>
      <w:pPr>
        <w:jc w:val="center"/>
        <w:rPr>
          <w:rFonts w:ascii="仿宋" w:hAnsi="仿宋"/>
          <w:b/>
          <w:color w:val="auto"/>
        </w:rPr>
      </w:pPr>
      <w:r>
        <w:rPr>
          <w:rFonts w:hint="eastAsia" w:ascii="仿宋" w:hAnsi="仿宋"/>
          <w:b/>
          <w:color w:val="auto"/>
        </w:rPr>
        <w:t>（格式自拟）</w:t>
      </w:r>
    </w:p>
    <w:bookmarkEnd w:id="118"/>
    <w:p>
      <w:pPr>
        <w:rPr>
          <w:rFonts w:ascii="仿宋" w:hAnsi="仿宋"/>
          <w:b/>
          <w:color w:val="auto"/>
          <w:sz w:val="32"/>
          <w:szCs w:val="32"/>
        </w:rPr>
      </w:pPr>
      <w:r>
        <w:rPr>
          <w:rFonts w:ascii="仿宋" w:hAnsi="仿宋"/>
          <w:color w:val="auto"/>
        </w:rPr>
        <w:br w:type="page"/>
      </w:r>
    </w:p>
    <w:p>
      <w:pPr>
        <w:widowControl/>
        <w:jc w:val="center"/>
        <w:outlineLvl w:val="1"/>
        <w:rPr>
          <w:rFonts w:ascii="仿宋" w:hAnsi="仿宋"/>
          <w:b/>
          <w:color w:val="auto"/>
          <w:sz w:val="32"/>
          <w:szCs w:val="32"/>
        </w:rPr>
      </w:pPr>
      <w:r>
        <w:rPr>
          <w:rFonts w:hint="eastAsia" w:ascii="仿宋" w:hAnsi="仿宋"/>
          <w:b/>
          <w:color w:val="auto"/>
          <w:sz w:val="32"/>
          <w:szCs w:val="32"/>
        </w:rPr>
        <w:t>十、报价一览表</w:t>
      </w:r>
    </w:p>
    <w:p>
      <w:pPr>
        <w:widowControl/>
        <w:ind w:left="-425" w:leftChars="-177"/>
        <w:jc w:val="left"/>
        <w:outlineLvl w:val="1"/>
        <w:rPr>
          <w:rFonts w:ascii="仿宋" w:hAnsi="仿宋"/>
          <w:b/>
          <w:color w:val="auto"/>
          <w:sz w:val="32"/>
          <w:szCs w:val="32"/>
        </w:rPr>
      </w:pPr>
      <w:r>
        <w:rPr>
          <w:rFonts w:hint="eastAsia" w:ascii="仿宋" w:hAnsi="仿宋"/>
          <w:color w:val="auto"/>
        </w:rPr>
        <w:t>致：新华招标有限公司</w:t>
      </w:r>
    </w:p>
    <w:p>
      <w:pPr>
        <w:pStyle w:val="10"/>
        <w:spacing w:before="26" w:after="79"/>
        <w:ind w:left="220" w:right="-1" w:firstLine="539"/>
        <w:jc w:val="left"/>
        <w:rPr>
          <w:rFonts w:ascii="仿宋" w:hAnsi="仿宋" w:cs="仿宋"/>
          <w:color w:val="auto"/>
        </w:rPr>
      </w:pPr>
      <w:r>
        <w:rPr>
          <w:rFonts w:hint="eastAsia" w:ascii="仿宋" w:hAnsi="仿宋" w:cs="仿宋"/>
          <w:color w:val="auto"/>
        </w:rPr>
        <w:t>我公司仔细研究了询比文件的要求，根据本公司的实际情况，本公司的报价如下：</w:t>
      </w:r>
    </w:p>
    <w:tbl>
      <w:tblPr>
        <w:tblStyle w:val="26"/>
        <w:tblW w:w="10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452"/>
        <w:gridCol w:w="898"/>
        <w:gridCol w:w="765"/>
        <w:gridCol w:w="851"/>
        <w:gridCol w:w="851"/>
        <w:gridCol w:w="1164"/>
        <w:gridCol w:w="1134"/>
        <w:gridCol w:w="992"/>
        <w:gridCol w:w="851"/>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547" w:type="dxa"/>
            <w:vAlign w:val="center"/>
          </w:tcPr>
          <w:p>
            <w:pPr>
              <w:widowControl/>
              <w:overflowPunct w:val="0"/>
              <w:autoSpaceDE w:val="0"/>
              <w:autoSpaceDN w:val="0"/>
              <w:spacing w:line="360" w:lineRule="atLeast"/>
              <w:jc w:val="center"/>
              <w:outlineLvl w:val="1"/>
              <w:rPr>
                <w:rFonts w:ascii="仿宋" w:hAnsi="仿宋"/>
                <w:color w:val="auto"/>
              </w:rPr>
            </w:pPr>
            <w:r>
              <w:rPr>
                <w:rFonts w:hint="eastAsia" w:ascii="仿宋" w:hAnsi="仿宋"/>
                <w:color w:val="auto"/>
              </w:rPr>
              <w:t>序号</w:t>
            </w:r>
          </w:p>
        </w:tc>
        <w:tc>
          <w:tcPr>
            <w:tcW w:w="1452" w:type="dxa"/>
            <w:vAlign w:val="center"/>
          </w:tcPr>
          <w:p>
            <w:pPr>
              <w:widowControl/>
              <w:overflowPunct w:val="0"/>
              <w:autoSpaceDE w:val="0"/>
              <w:autoSpaceDN w:val="0"/>
              <w:spacing w:line="360" w:lineRule="atLeast"/>
              <w:jc w:val="center"/>
              <w:outlineLvl w:val="1"/>
              <w:rPr>
                <w:rFonts w:ascii="仿宋" w:hAnsi="仿宋"/>
                <w:color w:val="auto"/>
              </w:rPr>
            </w:pPr>
            <w:r>
              <w:rPr>
                <w:rFonts w:hint="eastAsia" w:ascii="仿宋" w:hAnsi="仿宋"/>
                <w:color w:val="auto"/>
              </w:rPr>
              <w:t>货物名称</w:t>
            </w:r>
          </w:p>
        </w:tc>
        <w:tc>
          <w:tcPr>
            <w:tcW w:w="898" w:type="dxa"/>
            <w:vAlign w:val="center"/>
          </w:tcPr>
          <w:p>
            <w:pPr>
              <w:widowControl/>
              <w:overflowPunct w:val="0"/>
              <w:autoSpaceDE w:val="0"/>
              <w:autoSpaceDN w:val="0"/>
              <w:spacing w:line="360" w:lineRule="atLeast"/>
              <w:jc w:val="center"/>
              <w:outlineLvl w:val="1"/>
              <w:rPr>
                <w:rFonts w:ascii="仿宋" w:hAnsi="仿宋"/>
                <w:color w:val="auto"/>
              </w:rPr>
            </w:pPr>
            <w:r>
              <w:rPr>
                <w:rFonts w:hint="eastAsia" w:ascii="仿宋" w:hAnsi="仿宋"/>
                <w:color w:val="auto"/>
              </w:rPr>
              <w:t>品牌</w:t>
            </w:r>
          </w:p>
        </w:tc>
        <w:tc>
          <w:tcPr>
            <w:tcW w:w="765" w:type="dxa"/>
            <w:vAlign w:val="center"/>
          </w:tcPr>
          <w:p>
            <w:pPr>
              <w:widowControl/>
              <w:overflowPunct w:val="0"/>
              <w:autoSpaceDE w:val="0"/>
              <w:autoSpaceDN w:val="0"/>
              <w:spacing w:line="360" w:lineRule="atLeast"/>
              <w:jc w:val="center"/>
              <w:outlineLvl w:val="1"/>
              <w:rPr>
                <w:rFonts w:ascii="仿宋" w:hAnsi="仿宋"/>
                <w:color w:val="auto"/>
              </w:rPr>
            </w:pPr>
            <w:r>
              <w:rPr>
                <w:rFonts w:hint="eastAsia" w:ascii="仿宋" w:hAnsi="仿宋"/>
                <w:color w:val="auto"/>
              </w:rPr>
              <w:t>规格型号</w:t>
            </w:r>
          </w:p>
        </w:tc>
        <w:tc>
          <w:tcPr>
            <w:tcW w:w="851" w:type="dxa"/>
            <w:vAlign w:val="center"/>
          </w:tcPr>
          <w:p>
            <w:pPr>
              <w:widowControl/>
              <w:overflowPunct w:val="0"/>
              <w:autoSpaceDE w:val="0"/>
              <w:autoSpaceDN w:val="0"/>
              <w:spacing w:line="360" w:lineRule="atLeast"/>
              <w:jc w:val="center"/>
              <w:outlineLvl w:val="1"/>
              <w:rPr>
                <w:rFonts w:ascii="仿宋" w:hAnsi="仿宋"/>
                <w:color w:val="auto"/>
              </w:rPr>
            </w:pPr>
            <w:r>
              <w:rPr>
                <w:rFonts w:hint="eastAsia" w:ascii="仿宋" w:hAnsi="仿宋"/>
                <w:color w:val="auto"/>
              </w:rPr>
              <w:t>单位</w:t>
            </w:r>
          </w:p>
        </w:tc>
        <w:tc>
          <w:tcPr>
            <w:tcW w:w="851" w:type="dxa"/>
            <w:vAlign w:val="center"/>
          </w:tcPr>
          <w:p>
            <w:pPr>
              <w:widowControl/>
              <w:overflowPunct w:val="0"/>
              <w:autoSpaceDE w:val="0"/>
              <w:autoSpaceDN w:val="0"/>
              <w:spacing w:line="360" w:lineRule="atLeast"/>
              <w:jc w:val="center"/>
              <w:outlineLvl w:val="1"/>
              <w:rPr>
                <w:rFonts w:ascii="仿宋" w:hAnsi="仿宋"/>
                <w:color w:val="auto"/>
              </w:rPr>
            </w:pPr>
            <w:r>
              <w:rPr>
                <w:rFonts w:hint="eastAsia" w:ascii="仿宋" w:hAnsi="仿宋"/>
                <w:color w:val="auto"/>
              </w:rPr>
              <w:t>数量</w:t>
            </w:r>
          </w:p>
        </w:tc>
        <w:tc>
          <w:tcPr>
            <w:tcW w:w="1164" w:type="dxa"/>
            <w:vAlign w:val="center"/>
          </w:tcPr>
          <w:p>
            <w:pPr>
              <w:widowControl/>
              <w:overflowPunct w:val="0"/>
              <w:autoSpaceDE w:val="0"/>
              <w:autoSpaceDN w:val="0"/>
              <w:spacing w:line="360" w:lineRule="atLeast"/>
              <w:jc w:val="center"/>
              <w:outlineLvl w:val="1"/>
              <w:rPr>
                <w:rFonts w:ascii="仿宋" w:hAnsi="仿宋"/>
                <w:color w:val="auto"/>
              </w:rPr>
            </w:pPr>
            <w:r>
              <w:rPr>
                <w:rFonts w:hint="eastAsia" w:ascii="仿宋" w:hAnsi="仿宋"/>
                <w:color w:val="auto"/>
              </w:rPr>
              <w:t>单价</w:t>
            </w:r>
          </w:p>
          <w:p>
            <w:pPr>
              <w:widowControl/>
              <w:overflowPunct w:val="0"/>
              <w:autoSpaceDE w:val="0"/>
              <w:autoSpaceDN w:val="0"/>
              <w:spacing w:line="360" w:lineRule="atLeast"/>
              <w:jc w:val="center"/>
              <w:outlineLvl w:val="1"/>
              <w:rPr>
                <w:rFonts w:ascii="仿宋" w:hAnsi="仿宋"/>
                <w:color w:val="auto"/>
              </w:rPr>
            </w:pPr>
            <w:r>
              <w:rPr>
                <w:rFonts w:hint="eastAsia" w:ascii="仿宋" w:hAnsi="仿宋"/>
                <w:color w:val="auto"/>
              </w:rPr>
              <w:t>（元）</w:t>
            </w:r>
          </w:p>
        </w:tc>
        <w:tc>
          <w:tcPr>
            <w:tcW w:w="1134" w:type="dxa"/>
            <w:vAlign w:val="center"/>
          </w:tcPr>
          <w:p>
            <w:pPr>
              <w:widowControl/>
              <w:overflowPunct w:val="0"/>
              <w:autoSpaceDE w:val="0"/>
              <w:autoSpaceDN w:val="0"/>
              <w:spacing w:line="360" w:lineRule="atLeast"/>
              <w:jc w:val="center"/>
              <w:outlineLvl w:val="1"/>
              <w:rPr>
                <w:rFonts w:ascii="仿宋" w:hAnsi="仿宋"/>
                <w:color w:val="auto"/>
              </w:rPr>
            </w:pPr>
            <w:r>
              <w:rPr>
                <w:rFonts w:hint="eastAsia" w:ascii="仿宋" w:hAnsi="仿宋"/>
                <w:color w:val="auto"/>
              </w:rPr>
              <w:t>合价</w:t>
            </w:r>
          </w:p>
          <w:p>
            <w:pPr>
              <w:widowControl/>
              <w:overflowPunct w:val="0"/>
              <w:autoSpaceDE w:val="0"/>
              <w:autoSpaceDN w:val="0"/>
              <w:spacing w:line="360" w:lineRule="atLeast"/>
              <w:jc w:val="center"/>
              <w:outlineLvl w:val="1"/>
              <w:rPr>
                <w:rFonts w:ascii="仿宋" w:hAnsi="仿宋"/>
                <w:color w:val="auto"/>
              </w:rPr>
            </w:pPr>
            <w:r>
              <w:rPr>
                <w:rFonts w:hint="eastAsia" w:ascii="仿宋" w:hAnsi="仿宋"/>
                <w:color w:val="auto"/>
              </w:rPr>
              <w:t>（元）</w:t>
            </w:r>
          </w:p>
        </w:tc>
        <w:tc>
          <w:tcPr>
            <w:tcW w:w="992" w:type="dxa"/>
            <w:vAlign w:val="center"/>
          </w:tcPr>
          <w:p>
            <w:pPr>
              <w:widowControl/>
              <w:overflowPunct w:val="0"/>
              <w:autoSpaceDE w:val="0"/>
              <w:autoSpaceDN w:val="0"/>
              <w:spacing w:line="360" w:lineRule="atLeast"/>
              <w:jc w:val="center"/>
              <w:outlineLvl w:val="1"/>
              <w:rPr>
                <w:rFonts w:ascii="仿宋" w:hAnsi="仿宋"/>
                <w:b/>
                <w:color w:val="auto"/>
              </w:rPr>
            </w:pPr>
            <w:r>
              <w:rPr>
                <w:rFonts w:hint="eastAsia" w:ascii="仿宋" w:hAnsi="仿宋"/>
                <w:color w:val="auto"/>
              </w:rPr>
              <w:t>交付</w:t>
            </w:r>
          </w:p>
          <w:p>
            <w:pPr>
              <w:widowControl/>
              <w:overflowPunct w:val="0"/>
              <w:autoSpaceDE w:val="0"/>
              <w:autoSpaceDN w:val="0"/>
              <w:spacing w:line="360" w:lineRule="atLeast"/>
              <w:jc w:val="center"/>
              <w:outlineLvl w:val="1"/>
              <w:rPr>
                <w:rFonts w:ascii="仿宋" w:hAnsi="仿宋"/>
                <w:color w:val="auto"/>
              </w:rPr>
            </w:pPr>
            <w:r>
              <w:rPr>
                <w:rFonts w:hint="eastAsia" w:ascii="仿宋" w:hAnsi="仿宋"/>
                <w:color w:val="auto"/>
              </w:rPr>
              <w:t>时间</w:t>
            </w:r>
          </w:p>
        </w:tc>
        <w:tc>
          <w:tcPr>
            <w:tcW w:w="851" w:type="dxa"/>
            <w:vAlign w:val="center"/>
          </w:tcPr>
          <w:p>
            <w:pPr>
              <w:widowControl/>
              <w:overflowPunct w:val="0"/>
              <w:autoSpaceDE w:val="0"/>
              <w:autoSpaceDN w:val="0"/>
              <w:spacing w:line="360" w:lineRule="atLeast"/>
              <w:jc w:val="center"/>
              <w:outlineLvl w:val="1"/>
              <w:rPr>
                <w:rFonts w:ascii="仿宋" w:hAnsi="仿宋"/>
                <w:color w:val="auto"/>
              </w:rPr>
            </w:pPr>
            <w:r>
              <w:rPr>
                <w:rFonts w:hint="eastAsia" w:ascii="仿宋" w:hAnsi="仿宋"/>
                <w:color w:val="auto"/>
              </w:rPr>
              <w:t>交付地点</w:t>
            </w:r>
          </w:p>
        </w:tc>
        <w:tc>
          <w:tcPr>
            <w:tcW w:w="540" w:type="dxa"/>
            <w:vAlign w:val="center"/>
          </w:tcPr>
          <w:p>
            <w:pPr>
              <w:widowControl/>
              <w:overflowPunct w:val="0"/>
              <w:autoSpaceDE w:val="0"/>
              <w:autoSpaceDN w:val="0"/>
              <w:spacing w:line="360" w:lineRule="atLeast"/>
              <w:jc w:val="center"/>
              <w:outlineLvl w:val="1"/>
              <w:rPr>
                <w:rFonts w:ascii="仿宋" w:hAnsi="仿宋"/>
                <w:color w:val="auto"/>
              </w:rPr>
            </w:pPr>
            <w:r>
              <w:rPr>
                <w:rFonts w:hint="eastAsia" w:ascii="仿宋" w:hAnsi="仿宋"/>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547" w:type="dxa"/>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1452"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898"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765"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851"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851"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1164"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1134"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992"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851"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540"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547" w:type="dxa"/>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1452"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898"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765"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851"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851"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1164"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1134"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992"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851"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540"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547" w:type="dxa"/>
            <w:tcBorders>
              <w:right w:val="single" w:color="auto" w:sz="4" w:space="0"/>
            </w:tcBorders>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1452" w:type="dxa"/>
            <w:tcBorders>
              <w:left w:val="single" w:color="auto" w:sz="4" w:space="0"/>
            </w:tcBorders>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898"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765"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851"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851"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1164"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1134"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992"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851"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c>
          <w:tcPr>
            <w:tcW w:w="540" w:type="dxa"/>
            <w:vAlign w:val="center"/>
          </w:tcPr>
          <w:p>
            <w:pPr>
              <w:widowControl/>
              <w:overflowPunct w:val="0"/>
              <w:autoSpaceDE w:val="0"/>
              <w:autoSpaceDN w:val="0"/>
              <w:spacing w:line="360" w:lineRule="atLeast"/>
              <w:ind w:firstLine="470" w:firstLineChars="196"/>
              <w:jc w:val="left"/>
              <w:outlineLvl w:val="1"/>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10045" w:type="dxa"/>
            <w:gridSpan w:val="11"/>
            <w:tcBorders>
              <w:bottom w:val="single" w:color="auto" w:sz="4" w:space="0"/>
            </w:tcBorders>
            <w:vAlign w:val="center"/>
          </w:tcPr>
          <w:p>
            <w:pPr>
              <w:widowControl/>
              <w:overflowPunct w:val="0"/>
              <w:autoSpaceDE w:val="0"/>
              <w:autoSpaceDN w:val="0"/>
              <w:spacing w:line="360" w:lineRule="atLeast"/>
              <w:jc w:val="left"/>
              <w:outlineLvl w:val="1"/>
              <w:rPr>
                <w:rFonts w:ascii="仿宋" w:hAnsi="仿宋"/>
                <w:color w:val="auto"/>
              </w:rPr>
            </w:pPr>
            <w:r>
              <w:rPr>
                <w:rFonts w:hint="eastAsia" w:ascii="仿宋" w:hAnsi="仿宋"/>
                <w:color w:val="auto"/>
              </w:rPr>
              <w:t>报价总价（元）：</w:t>
            </w:r>
            <w:r>
              <w:rPr>
                <w:rFonts w:hint="eastAsia" w:ascii="仿宋" w:hAnsi="仿宋"/>
                <w:color w:val="auto"/>
                <w:u w:val="single"/>
              </w:rPr>
              <w:t xml:space="preserve">          </w:t>
            </w:r>
            <w:r>
              <w:rPr>
                <w:rFonts w:hint="eastAsia" w:ascii="仿宋" w:hAnsi="仿宋"/>
                <w:color w:val="auto"/>
              </w:rPr>
              <w:t>（大写：人民币</w:t>
            </w:r>
            <w:r>
              <w:rPr>
                <w:rFonts w:hint="eastAsia" w:ascii="仿宋" w:hAnsi="仿宋"/>
                <w:color w:val="auto"/>
                <w:u w:val="single"/>
              </w:rPr>
              <w:t xml:space="preserve">                       </w:t>
            </w:r>
            <w:r>
              <w:rPr>
                <w:rFonts w:hint="eastAsia" w:ascii="仿宋" w:hAnsi="仿宋"/>
                <w:color w:val="auto"/>
              </w:rPr>
              <w:t>）</w:t>
            </w:r>
          </w:p>
        </w:tc>
      </w:tr>
    </w:tbl>
    <w:p>
      <w:pPr>
        <w:rPr>
          <w:rFonts w:ascii="仿宋" w:hAnsi="仿宋"/>
          <w:b/>
          <w:bCs/>
          <w:color w:val="auto"/>
          <w:szCs w:val="21"/>
        </w:rPr>
      </w:pPr>
      <w:bookmarkStart w:id="119" w:name="_Hlk97814281"/>
      <w:r>
        <w:rPr>
          <w:rFonts w:hint="eastAsia" w:ascii="仿宋" w:hAnsi="仿宋"/>
          <w:b/>
          <w:bCs/>
          <w:color w:val="auto"/>
          <w:szCs w:val="21"/>
        </w:rPr>
        <w:t>注:1、供应商的报价是供应商响应询比项目要求的全部工作内容的价格体现，包含完成本项目的所有费用。</w:t>
      </w:r>
    </w:p>
    <w:p>
      <w:pPr>
        <w:rPr>
          <w:rFonts w:ascii="仿宋" w:hAnsi="仿宋"/>
          <w:b/>
          <w:bCs/>
          <w:color w:val="auto"/>
          <w:spacing w:val="2"/>
          <w:szCs w:val="21"/>
        </w:rPr>
      </w:pPr>
      <w:r>
        <w:rPr>
          <w:rFonts w:hint="eastAsia" w:ascii="仿宋" w:hAnsi="仿宋"/>
          <w:b/>
          <w:bCs/>
          <w:color w:val="auto"/>
          <w:spacing w:val="2"/>
          <w:szCs w:val="21"/>
        </w:rPr>
        <w:t>2、报价表各项内容均需完整填写，未填写的内容（报价除外)，视为与响应文件中相应内容一致（如有)。</w:t>
      </w:r>
    </w:p>
    <w:p>
      <w:pPr>
        <w:rPr>
          <w:rFonts w:ascii="仿宋" w:hAnsi="仿宋"/>
          <w:b/>
          <w:bCs/>
          <w:color w:val="auto"/>
          <w:spacing w:val="2"/>
          <w:szCs w:val="21"/>
        </w:rPr>
      </w:pPr>
      <w:r>
        <w:rPr>
          <w:rFonts w:hint="eastAsia" w:ascii="仿宋" w:hAnsi="仿宋"/>
          <w:b/>
          <w:bCs/>
          <w:color w:val="auto"/>
          <w:spacing w:val="2"/>
          <w:szCs w:val="21"/>
        </w:rPr>
        <w:t>3、如采用不归供应商所有的知识产权，则在该报价中已包括合法获取该知识产权的相关费用。</w:t>
      </w:r>
    </w:p>
    <w:p>
      <w:pPr>
        <w:rPr>
          <w:rFonts w:ascii="仿宋" w:hAnsi="仿宋"/>
          <w:b/>
          <w:bCs/>
          <w:color w:val="auto"/>
          <w:spacing w:val="2"/>
          <w:szCs w:val="21"/>
        </w:rPr>
      </w:pPr>
      <w:r>
        <w:rPr>
          <w:rFonts w:hint="eastAsia" w:ascii="仿宋" w:hAnsi="仿宋"/>
          <w:b/>
          <w:bCs/>
          <w:color w:val="auto"/>
          <w:spacing w:val="2"/>
          <w:szCs w:val="21"/>
        </w:rPr>
        <w:t>4、表格可根据需要自行扩展。</w:t>
      </w:r>
    </w:p>
    <w:bookmarkEnd w:id="119"/>
    <w:p>
      <w:pPr>
        <w:ind w:firstLine="480" w:firstLineChars="200"/>
        <w:rPr>
          <w:rFonts w:ascii="仿宋" w:hAnsi="仿宋" w:cs="仿宋"/>
          <w:color w:val="auto"/>
        </w:rPr>
      </w:pPr>
      <w:r>
        <w:rPr>
          <w:rFonts w:hint="eastAsia" w:ascii="仿宋" w:hAnsi="仿宋" w:cs="仿宋"/>
          <w:color w:val="auto"/>
        </w:rPr>
        <w:t>供应商名称：</w:t>
      </w:r>
      <w:r>
        <w:rPr>
          <w:rFonts w:ascii="仿宋" w:hAnsi="仿宋" w:cs="仿宋"/>
          <w:color w:val="auto"/>
        </w:rPr>
        <w:t>XXXX</w:t>
      </w:r>
      <w:r>
        <w:rPr>
          <w:rFonts w:hint="eastAsia" w:ascii="仿宋" w:hAnsi="仿宋" w:cs="仿宋"/>
          <w:color w:val="auto"/>
        </w:rPr>
        <w:t>（盖单位公章）</w:t>
      </w:r>
    </w:p>
    <w:p>
      <w:pPr>
        <w:ind w:firstLine="480" w:firstLineChars="200"/>
        <w:rPr>
          <w:rFonts w:ascii="仿宋" w:hAnsi="仿宋" w:cs="仿宋"/>
          <w:color w:val="auto"/>
        </w:rPr>
      </w:pPr>
      <w:r>
        <w:rPr>
          <w:rFonts w:hint="eastAsia" w:ascii="仿宋" w:hAnsi="仿宋" w:cs="仿宋"/>
          <w:color w:val="auto"/>
        </w:rPr>
        <w:t>法定代表人</w:t>
      </w:r>
      <w:r>
        <w:rPr>
          <w:rFonts w:ascii="仿宋" w:hAnsi="仿宋" w:cs="仿宋"/>
          <w:color w:val="auto"/>
        </w:rPr>
        <w:t>/</w:t>
      </w:r>
      <w:r>
        <w:rPr>
          <w:rFonts w:hint="eastAsia" w:ascii="仿宋" w:hAnsi="仿宋" w:cs="仿宋"/>
          <w:color w:val="auto"/>
        </w:rPr>
        <w:t>单位负责人或授权代表（签字或加盖个人印章）：</w:t>
      </w:r>
      <w:r>
        <w:rPr>
          <w:rFonts w:ascii="仿宋" w:hAnsi="仿宋" w:cs="仿宋"/>
          <w:color w:val="auto"/>
        </w:rPr>
        <w:t>XXXX</w:t>
      </w:r>
    </w:p>
    <w:p>
      <w:pPr>
        <w:ind w:firstLine="480" w:firstLineChars="200"/>
        <w:rPr>
          <w:rFonts w:ascii="仿宋" w:hAnsi="仿宋" w:cs="仿宋"/>
          <w:color w:val="auto"/>
        </w:rPr>
      </w:pPr>
      <w:r>
        <w:rPr>
          <w:rFonts w:hint="eastAsia" w:ascii="仿宋" w:hAnsi="仿宋" w:cs="仿宋"/>
          <w:color w:val="auto"/>
        </w:rPr>
        <w:t>日期</w:t>
      </w:r>
      <w:r>
        <w:rPr>
          <w:rFonts w:ascii="仿宋" w:hAnsi="仿宋" w:cs="仿宋"/>
          <w:color w:val="auto"/>
        </w:rPr>
        <w:t>: XXXX</w:t>
      </w:r>
    </w:p>
    <w:p>
      <w:pPr>
        <w:ind w:firstLine="480" w:firstLineChars="200"/>
        <w:rPr>
          <w:rFonts w:ascii="仿宋" w:hAnsi="仿宋" w:cs="仿宋"/>
          <w:color w:val="auto"/>
        </w:rPr>
        <w:sectPr>
          <w:footerReference r:id="rId17" w:type="default"/>
          <w:pgSz w:w="11907" w:h="16840"/>
          <w:pgMar w:top="1418" w:right="992" w:bottom="1418" w:left="1418" w:header="851" w:footer="992" w:gutter="0"/>
          <w:cols w:space="425" w:num="1"/>
          <w:docGrid w:linePitch="326" w:charSpace="0"/>
        </w:sectPr>
      </w:pPr>
    </w:p>
    <w:p>
      <w:pPr>
        <w:widowControl/>
        <w:jc w:val="center"/>
        <w:outlineLvl w:val="1"/>
        <w:rPr>
          <w:rFonts w:ascii="仿宋" w:hAnsi="仿宋"/>
          <w:b/>
          <w:color w:val="auto"/>
          <w:sz w:val="32"/>
          <w:szCs w:val="32"/>
        </w:rPr>
      </w:pPr>
      <w:r>
        <w:rPr>
          <w:rFonts w:hint="eastAsia" w:ascii="仿宋" w:hAnsi="仿宋"/>
          <w:b/>
          <w:color w:val="auto"/>
          <w:sz w:val="32"/>
          <w:szCs w:val="32"/>
        </w:rPr>
        <w:t>十一、说 明</w:t>
      </w:r>
    </w:p>
    <w:p>
      <w:pPr>
        <w:widowControl/>
        <w:ind w:firstLine="482" w:firstLineChars="200"/>
        <w:jc w:val="left"/>
        <w:rPr>
          <w:rFonts w:ascii="仿宋" w:hAnsi="仿宋"/>
          <w:color w:val="auto"/>
          <w:kern w:val="44"/>
          <w:szCs w:val="44"/>
        </w:rPr>
      </w:pPr>
      <w:r>
        <w:rPr>
          <w:rFonts w:hint="eastAsia" w:ascii="仿宋" w:hAnsi="仿宋" w:cs="Arial"/>
          <w:b/>
          <w:color w:val="auto"/>
        </w:rPr>
        <w:t>我单</w:t>
      </w:r>
      <w:r>
        <w:rPr>
          <w:rFonts w:hint="eastAsia" w:ascii="仿宋" w:hAnsi="仿宋"/>
          <w:b/>
          <w:color w:val="auto"/>
        </w:rPr>
        <w:t>位的□股东□实际控制人□重要任职人员中有中国工程物理研究院职工及其家庭成员、主要社会关系人。其中中国工程物理研究院职工指院及院属事业单位的离退休人员、事业编制人员、有劳动关系的非编人员；家庭成员、主要社会关系人指与“院职工”存在夫妻关系、直系血亲、三代以内旁系血亲或近姻亲关系的人员，以及其他亲属（包括养父母子女、形成抚养关系的继父母子女及由此形成的直系血亲、三代以内旁系血亲和近姻亲关系。）</w:t>
      </w:r>
    </w:p>
    <w:tbl>
      <w:tblPr>
        <w:tblStyle w:val="26"/>
        <w:tblW w:w="9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094"/>
        <w:gridCol w:w="998"/>
        <w:gridCol w:w="1189"/>
        <w:gridCol w:w="1943"/>
        <w:gridCol w:w="2042"/>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r>
              <w:rPr>
                <w:rFonts w:hint="eastAsia" w:ascii="仿宋" w:hAnsi="仿宋" w:cs="Arial"/>
                <w:iCs/>
                <w:color w:val="auto"/>
              </w:rPr>
              <w:t>序号</w:t>
            </w:r>
          </w:p>
        </w:tc>
        <w:tc>
          <w:tcPr>
            <w:tcW w:w="10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r>
              <w:rPr>
                <w:rFonts w:hint="eastAsia" w:ascii="仿宋" w:hAnsi="仿宋" w:cs="Arial"/>
                <w:iCs/>
                <w:color w:val="auto"/>
              </w:rPr>
              <w:t>股东姓名</w:t>
            </w:r>
          </w:p>
        </w:tc>
        <w:tc>
          <w:tcPr>
            <w:tcW w:w="99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r>
              <w:rPr>
                <w:rFonts w:hint="eastAsia" w:ascii="仿宋" w:hAnsi="仿宋" w:cs="Arial"/>
                <w:iCs/>
                <w:color w:val="auto"/>
              </w:rPr>
              <w:t>实际控制人姓名</w:t>
            </w:r>
          </w:p>
        </w:tc>
        <w:tc>
          <w:tcPr>
            <w:tcW w:w="1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r>
              <w:rPr>
                <w:rFonts w:hint="eastAsia" w:ascii="仿宋" w:hAnsi="仿宋" w:cs="Arial"/>
                <w:iCs/>
                <w:color w:val="auto"/>
              </w:rPr>
              <w:t>重要任职人员姓名</w:t>
            </w:r>
          </w:p>
        </w:tc>
        <w:tc>
          <w:tcPr>
            <w:tcW w:w="19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r>
              <w:rPr>
                <w:rFonts w:hint="eastAsia" w:ascii="仿宋" w:hAnsi="仿宋" w:cs="Arial"/>
                <w:iCs/>
                <w:color w:val="auto"/>
              </w:rPr>
              <w:t>股东或实际控制人、重要任职人员在中国工程物理研究院的具体工作单位</w:t>
            </w:r>
          </w:p>
        </w:tc>
        <w:tc>
          <w:tcPr>
            <w:tcW w:w="20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r>
              <w:rPr>
                <w:rFonts w:hint="eastAsia" w:ascii="仿宋" w:hAnsi="仿宋" w:cs="Arial"/>
                <w:iCs/>
                <w:color w:val="auto"/>
              </w:rPr>
              <w:t>股东或实际控制人、重要任职人员的家庭成员、主要社会关系人在中国工程物理研究院的具体工作单位及姓名</w:t>
            </w:r>
          </w:p>
        </w:tc>
        <w:tc>
          <w:tcPr>
            <w:tcW w:w="128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r>
              <w:rPr>
                <w:rFonts w:hint="eastAsia" w:ascii="仿宋" w:hAnsi="仿宋" w:cs="Arial"/>
                <w:iCs/>
                <w:color w:val="auto"/>
              </w:rPr>
              <w:t>二者之间关系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r>
              <w:rPr>
                <w:rFonts w:hint="eastAsia" w:ascii="仿宋" w:hAnsi="仿宋" w:cs="Arial"/>
                <w:iCs/>
                <w:color w:val="auto"/>
              </w:rPr>
              <w:t>1</w:t>
            </w:r>
          </w:p>
        </w:tc>
        <w:tc>
          <w:tcPr>
            <w:tcW w:w="10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99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1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19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20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128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r>
              <w:rPr>
                <w:rFonts w:hint="eastAsia" w:ascii="仿宋" w:hAnsi="仿宋" w:cs="Arial"/>
                <w:iCs/>
                <w:color w:val="auto"/>
              </w:rPr>
              <w:t>2</w:t>
            </w:r>
          </w:p>
        </w:tc>
        <w:tc>
          <w:tcPr>
            <w:tcW w:w="10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99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1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19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20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128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r>
              <w:rPr>
                <w:rFonts w:hint="eastAsia" w:ascii="仿宋" w:hAnsi="仿宋" w:cs="Arial"/>
                <w:iCs/>
                <w:color w:val="auto"/>
              </w:rPr>
              <w:t>3</w:t>
            </w:r>
          </w:p>
        </w:tc>
        <w:tc>
          <w:tcPr>
            <w:tcW w:w="10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99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1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19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20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128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r>
              <w:rPr>
                <w:rFonts w:hint="eastAsia" w:ascii="仿宋" w:hAnsi="仿宋" w:cs="Arial"/>
                <w:iCs/>
                <w:color w:val="auto"/>
              </w:rPr>
              <w:t>……</w:t>
            </w:r>
          </w:p>
        </w:tc>
        <w:tc>
          <w:tcPr>
            <w:tcW w:w="10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99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1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19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20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c>
          <w:tcPr>
            <w:tcW w:w="128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仿宋" w:hAnsi="仿宋" w:cs="Arial"/>
                <w:iCs/>
                <w:color w:val="auto"/>
              </w:rPr>
            </w:pPr>
          </w:p>
        </w:tc>
      </w:tr>
    </w:tbl>
    <w:p>
      <w:pPr>
        <w:widowControl/>
        <w:jc w:val="left"/>
        <w:rPr>
          <w:rFonts w:ascii="仿宋" w:hAnsi="仿宋"/>
          <w:iCs/>
          <w:color w:val="auto"/>
          <w:kern w:val="44"/>
          <w:szCs w:val="44"/>
        </w:rPr>
      </w:pPr>
      <w:r>
        <w:rPr>
          <w:rFonts w:hint="eastAsia" w:ascii="仿宋" w:hAnsi="仿宋"/>
          <w:color w:val="auto"/>
          <w:kern w:val="44"/>
          <w:szCs w:val="44"/>
        </w:rPr>
        <w:t>备注：</w:t>
      </w:r>
      <w:bookmarkStart w:id="120" w:name="_Toc64974692"/>
      <w:r>
        <w:rPr>
          <w:rFonts w:hint="eastAsia" w:ascii="仿宋" w:hAnsi="仿宋"/>
          <w:iCs/>
          <w:color w:val="auto"/>
          <w:kern w:val="44"/>
          <w:szCs w:val="44"/>
        </w:rPr>
        <w:t>1、供应商根据实际情况填写“说明”，在相应的“□”内打勾并在表格内填写相关内容，表格内没有需要填写内容的可以空白或“/”表示。</w:t>
      </w:r>
      <w:r>
        <w:rPr>
          <w:rFonts w:hint="eastAsia" w:ascii="仿宋" w:hAnsi="仿宋"/>
          <w:b/>
          <w:iCs/>
          <w:color w:val="auto"/>
          <w:kern w:val="44"/>
          <w:szCs w:val="44"/>
        </w:rPr>
        <w:t>未按实际填写“说明”或未提供“说明”的响应文件做无效处理（</w:t>
      </w:r>
      <w:r>
        <w:rPr>
          <w:rFonts w:hint="eastAsia" w:ascii="仿宋" w:hAnsi="仿宋"/>
          <w:b/>
          <w:bCs/>
          <w:iCs/>
          <w:color w:val="auto"/>
          <w:kern w:val="44"/>
          <w:szCs w:val="44"/>
        </w:rPr>
        <w:t>中国工程物理研究院下属事业单位可不提供该说明</w:t>
      </w:r>
      <w:r>
        <w:rPr>
          <w:rFonts w:hint="eastAsia" w:ascii="仿宋" w:hAnsi="仿宋"/>
          <w:b/>
          <w:iCs/>
          <w:color w:val="auto"/>
          <w:kern w:val="44"/>
          <w:szCs w:val="44"/>
        </w:rPr>
        <w:t>）。</w:t>
      </w:r>
      <w:bookmarkEnd w:id="120"/>
    </w:p>
    <w:p>
      <w:pPr>
        <w:widowControl/>
        <w:jc w:val="left"/>
        <w:rPr>
          <w:rFonts w:ascii="仿宋" w:hAnsi="仿宋"/>
          <w:iCs/>
          <w:color w:val="auto"/>
          <w:kern w:val="44"/>
          <w:szCs w:val="44"/>
        </w:rPr>
      </w:pPr>
      <w:bookmarkStart w:id="121" w:name="_Toc64974693"/>
      <w:r>
        <w:rPr>
          <w:rFonts w:hint="eastAsia" w:ascii="仿宋" w:hAnsi="仿宋"/>
          <w:iCs/>
          <w:color w:val="auto"/>
          <w:kern w:val="44"/>
          <w:szCs w:val="44"/>
        </w:rPr>
        <w:t>2、供应商的股东或实际控制人、重要任职人员有多名是中国工程物理研究院职工（含离、退休职工）及其家庭成员、主要社会关系人的，应按上表格式分别填写，表格可根据需要自行扩展。</w:t>
      </w:r>
      <w:bookmarkEnd w:id="121"/>
    </w:p>
    <w:p>
      <w:pPr>
        <w:widowControl/>
        <w:jc w:val="left"/>
        <w:rPr>
          <w:rFonts w:ascii="仿宋" w:hAnsi="仿宋"/>
          <w:iCs/>
          <w:color w:val="auto"/>
          <w:kern w:val="44"/>
          <w:szCs w:val="44"/>
        </w:rPr>
      </w:pPr>
      <w:bookmarkStart w:id="122" w:name="_Toc64974694"/>
      <w:r>
        <w:rPr>
          <w:rFonts w:hint="eastAsia" w:ascii="仿宋" w:hAnsi="仿宋"/>
          <w:iCs/>
          <w:color w:val="auto"/>
          <w:kern w:val="44"/>
          <w:szCs w:val="44"/>
        </w:rPr>
        <w:t>3、上表“二者之间关系”指：股东或实际控制人、重要任职人员与其家庭成员、主要社会关系人之间的关系。</w:t>
      </w:r>
      <w:bookmarkEnd w:id="122"/>
    </w:p>
    <w:p>
      <w:pPr>
        <w:widowControl/>
        <w:jc w:val="left"/>
        <w:rPr>
          <w:rFonts w:ascii="仿宋" w:hAnsi="仿宋"/>
          <w:b/>
          <w:iCs/>
          <w:color w:val="auto"/>
          <w:kern w:val="44"/>
          <w:szCs w:val="44"/>
        </w:rPr>
      </w:pPr>
      <w:bookmarkStart w:id="123" w:name="_Toc64974695"/>
      <w:r>
        <w:rPr>
          <w:rFonts w:hint="eastAsia" w:ascii="仿宋" w:hAnsi="仿宋"/>
          <w:bCs/>
          <w:iCs/>
          <w:color w:val="auto"/>
          <w:kern w:val="44"/>
          <w:szCs w:val="44"/>
        </w:rPr>
        <w:t>4、如说明中</w:t>
      </w:r>
      <w:r>
        <w:rPr>
          <w:rFonts w:hint="eastAsia" w:ascii="仿宋" w:hAnsi="仿宋"/>
          <w:iCs/>
          <w:color w:val="auto"/>
          <w:kern w:val="44"/>
          <w:szCs w:val="44"/>
        </w:rPr>
        <w:t>“□”未打勾和表格空白或“/”表示的</w:t>
      </w:r>
      <w:r>
        <w:rPr>
          <w:rFonts w:hint="eastAsia" w:ascii="仿宋" w:hAnsi="仿宋"/>
          <w:bCs/>
          <w:iCs/>
          <w:color w:val="auto"/>
          <w:kern w:val="44"/>
          <w:szCs w:val="44"/>
        </w:rPr>
        <w:t>，视为供应商的股东或实际控制人、重要任职人员中没有中国工程物理研究院职工（含离、退休职工）及其家庭成员、主要社会关系人。</w:t>
      </w:r>
      <w:bookmarkEnd w:id="123"/>
    </w:p>
    <w:p>
      <w:pPr>
        <w:widowControl/>
        <w:jc w:val="right"/>
        <w:rPr>
          <w:rFonts w:ascii="仿宋" w:hAnsi="仿宋"/>
          <w:color w:val="auto"/>
          <w:kern w:val="44"/>
          <w:szCs w:val="44"/>
        </w:rPr>
      </w:pPr>
      <w:r>
        <w:rPr>
          <w:rFonts w:hint="eastAsia" w:ascii="仿宋" w:hAnsi="仿宋"/>
          <w:color w:val="auto"/>
          <w:kern w:val="44"/>
          <w:szCs w:val="44"/>
        </w:rPr>
        <w:t>供应商名称：XXXX（盖单位公章）</w:t>
      </w:r>
    </w:p>
    <w:p>
      <w:pPr>
        <w:widowControl/>
        <w:jc w:val="right"/>
        <w:rPr>
          <w:rFonts w:ascii="仿宋" w:hAnsi="仿宋"/>
          <w:color w:val="auto"/>
          <w:kern w:val="44"/>
          <w:szCs w:val="44"/>
        </w:rPr>
      </w:pPr>
      <w:r>
        <w:rPr>
          <w:rFonts w:hint="eastAsia" w:ascii="仿宋" w:hAnsi="仿宋"/>
          <w:color w:val="auto"/>
          <w:kern w:val="44"/>
          <w:szCs w:val="44"/>
        </w:rPr>
        <w:t>法定代表人/单位负责人或授权代表（签字或加盖个人印章）：XXXX</w:t>
      </w:r>
    </w:p>
    <w:p>
      <w:pPr>
        <w:widowControl/>
        <w:jc w:val="right"/>
        <w:rPr>
          <w:rFonts w:ascii="仿宋" w:hAnsi="仿宋"/>
          <w:color w:val="auto"/>
          <w:kern w:val="44"/>
          <w:szCs w:val="44"/>
        </w:rPr>
      </w:pPr>
      <w:r>
        <w:rPr>
          <w:rFonts w:hint="eastAsia" w:ascii="仿宋" w:hAnsi="仿宋"/>
          <w:color w:val="auto"/>
          <w:kern w:val="44"/>
          <w:szCs w:val="44"/>
        </w:rPr>
        <w:t>日期: XXXX</w:t>
      </w:r>
    </w:p>
    <w:p>
      <w:pPr>
        <w:widowControl/>
        <w:jc w:val="center"/>
        <w:outlineLvl w:val="1"/>
        <w:rPr>
          <w:rFonts w:ascii="仿宋" w:hAnsi="仿宋"/>
          <w:b/>
          <w:color w:val="auto"/>
          <w:sz w:val="32"/>
          <w:szCs w:val="32"/>
        </w:rPr>
      </w:pPr>
      <w:r>
        <w:rPr>
          <w:rFonts w:hint="eastAsia" w:ascii="仿宋" w:hAnsi="仿宋"/>
          <w:b/>
          <w:color w:val="auto"/>
          <w:sz w:val="32"/>
          <w:szCs w:val="32"/>
        </w:rPr>
        <w:t>十二、供应商廉洁承诺书</w:t>
      </w:r>
    </w:p>
    <w:p>
      <w:pPr>
        <w:ind w:firstLine="480" w:firstLineChars="200"/>
        <w:rPr>
          <w:rFonts w:ascii="仿宋" w:hAnsi="仿宋" w:cs="仿宋"/>
          <w:color w:val="auto"/>
        </w:rPr>
      </w:pPr>
    </w:p>
    <w:p>
      <w:pPr>
        <w:ind w:firstLine="480" w:firstLineChars="200"/>
        <w:rPr>
          <w:rFonts w:ascii="仿宋" w:hAnsi="仿宋" w:cs="仿宋"/>
          <w:color w:val="auto"/>
        </w:rPr>
      </w:pPr>
      <w:r>
        <w:rPr>
          <w:rFonts w:hint="eastAsia" w:ascii="仿宋" w:hAnsi="仿宋" w:cs="仿宋"/>
          <w:color w:val="auto"/>
        </w:rPr>
        <w:t>为确保采购外协活动的规范与廉洁,共同建设风清气正的购销合作关系，自愿作出以下廉洁承诺：</w:t>
      </w:r>
    </w:p>
    <w:p>
      <w:pPr>
        <w:ind w:firstLine="480" w:firstLineChars="200"/>
        <w:rPr>
          <w:rFonts w:ascii="仿宋" w:hAnsi="仿宋" w:cs="仿宋"/>
          <w:color w:val="auto"/>
        </w:rPr>
      </w:pPr>
      <w:r>
        <w:rPr>
          <w:rFonts w:hint="eastAsia" w:ascii="仿宋" w:hAnsi="仿宋" w:cs="仿宋"/>
          <w:color w:val="auto"/>
        </w:rPr>
        <w:t>一、参加采购单位的各项采购外协活动均严格遵守国家法律法规和廉洁从业规定，遵循诚信、公平竞争原则，不损害国家、采购单位及其他供应商的合法权益。</w:t>
      </w:r>
    </w:p>
    <w:p>
      <w:pPr>
        <w:ind w:firstLine="480" w:firstLineChars="200"/>
        <w:rPr>
          <w:rFonts w:ascii="仿宋" w:hAnsi="仿宋" w:cs="仿宋"/>
          <w:color w:val="auto"/>
        </w:rPr>
      </w:pPr>
      <w:r>
        <w:rPr>
          <w:rFonts w:hint="eastAsia" w:ascii="仿宋" w:hAnsi="仿宋" w:cs="仿宋"/>
          <w:color w:val="auto"/>
        </w:rPr>
        <w:t>二、不向采购单位、采购代理机构、评审专家行贿或提供其他不正当利益。</w:t>
      </w:r>
    </w:p>
    <w:p>
      <w:pPr>
        <w:ind w:firstLine="480" w:firstLineChars="200"/>
        <w:rPr>
          <w:rFonts w:ascii="仿宋" w:hAnsi="仿宋" w:cs="仿宋"/>
          <w:color w:val="auto"/>
        </w:rPr>
      </w:pPr>
      <w:r>
        <w:rPr>
          <w:rFonts w:hint="eastAsia" w:ascii="仿宋" w:hAnsi="仿宋" w:cs="仿宋"/>
          <w:color w:val="auto"/>
        </w:rPr>
        <w:t>（一）不向相关工作人员及亲属馈赠礼品、礼金(包括但不限于现金、有价证券、支付凭证、购物卡及贵重物品等)。</w:t>
      </w:r>
    </w:p>
    <w:p>
      <w:pPr>
        <w:ind w:firstLine="480" w:firstLineChars="200"/>
        <w:rPr>
          <w:rFonts w:ascii="仿宋" w:hAnsi="仿宋" w:cs="仿宋"/>
          <w:color w:val="auto"/>
        </w:rPr>
      </w:pPr>
      <w:r>
        <w:rPr>
          <w:rFonts w:hint="eastAsia" w:ascii="仿宋" w:hAnsi="仿宋" w:cs="仿宋"/>
          <w:color w:val="auto"/>
        </w:rPr>
        <w:t>（二）不向相关工作人员及亲属提供宴请、联谊活动、度假、旅游，以及到营业性娱乐场所(包括但不限于营业性的歌厅、舞厅、卡拉ok厅、夜总会、桑拿、按摩和高尔夫球等)消费。</w:t>
      </w:r>
    </w:p>
    <w:p>
      <w:pPr>
        <w:ind w:firstLine="480" w:firstLineChars="200"/>
        <w:rPr>
          <w:rFonts w:ascii="仿宋" w:hAnsi="仿宋" w:cs="仿宋"/>
          <w:color w:val="auto"/>
        </w:rPr>
      </w:pPr>
      <w:r>
        <w:rPr>
          <w:rFonts w:hint="eastAsia" w:ascii="仿宋" w:hAnsi="仿宋" w:cs="仿宋"/>
          <w:color w:val="auto"/>
        </w:rPr>
        <w:t>（三）不为相关工作人员及亲属安排工作,以及支付应由其个人自付的各种费用(包括但不限于住宅装修、婚丧嫁娶、旅游、度假、食宿、购物、学费、子女出国留学等)。</w:t>
      </w:r>
    </w:p>
    <w:p>
      <w:pPr>
        <w:ind w:firstLine="480" w:firstLineChars="200"/>
        <w:rPr>
          <w:rFonts w:ascii="仿宋" w:hAnsi="仿宋" w:cs="仿宋"/>
          <w:color w:val="auto"/>
        </w:rPr>
      </w:pPr>
      <w:r>
        <w:rPr>
          <w:rFonts w:hint="eastAsia" w:ascii="仿宋" w:hAnsi="仿宋" w:cs="仿宋"/>
          <w:color w:val="auto"/>
        </w:rPr>
        <w:t>（四）不直接、间接唆使或利诱相关工作人员利用其职务便利谋取私利。相关工作人员及亲属提出违纪要求或有其他违纪违法问题的，应及时提醒纠正并向采购单位监督管理部门举报。</w:t>
      </w:r>
    </w:p>
    <w:p>
      <w:pPr>
        <w:ind w:firstLine="480" w:firstLineChars="200"/>
        <w:rPr>
          <w:rFonts w:ascii="仿宋" w:hAnsi="仿宋" w:cs="仿宋"/>
          <w:color w:val="auto"/>
        </w:rPr>
      </w:pPr>
      <w:r>
        <w:rPr>
          <w:rFonts w:hint="eastAsia" w:ascii="仿宋" w:hAnsi="仿宋" w:cs="仿宋"/>
          <w:color w:val="auto"/>
        </w:rPr>
        <w:t>三、如违反相关承诺，自愿接受采购单位及中物院依法依规采取的终止采购外协活动、认定中标/成交无效、撤销合同、追究相关民事/刑事责任措施。同时自愿接受列入中物院不良行为记录名单、禁止参加中物院采购外协活动，并自愿按合同约定比例扣减合同价款。</w:t>
      </w:r>
    </w:p>
    <w:p>
      <w:pPr>
        <w:jc w:val="right"/>
        <w:rPr>
          <w:rFonts w:ascii="仿宋" w:hAnsi="仿宋" w:cs="仿宋"/>
          <w:color w:val="auto"/>
        </w:rPr>
      </w:pPr>
    </w:p>
    <w:p>
      <w:pPr>
        <w:jc w:val="right"/>
        <w:rPr>
          <w:rFonts w:ascii="仿宋" w:hAnsi="仿宋" w:cs="仿宋"/>
          <w:color w:val="auto"/>
        </w:rPr>
      </w:pPr>
      <w:r>
        <w:rPr>
          <w:rFonts w:hint="eastAsia" w:ascii="仿宋" w:hAnsi="仿宋" w:cs="仿宋"/>
          <w:color w:val="auto"/>
        </w:rPr>
        <w:t>承诺单位：(公章)</w:t>
      </w:r>
    </w:p>
    <w:p>
      <w:pPr>
        <w:jc w:val="right"/>
        <w:rPr>
          <w:rFonts w:ascii="仿宋" w:hAnsi="仿宋" w:cs="仿宋"/>
          <w:color w:val="auto"/>
        </w:rPr>
      </w:pPr>
      <w:r>
        <w:rPr>
          <w:rFonts w:hint="eastAsia" w:ascii="仿宋" w:hAnsi="仿宋" w:cs="仿宋"/>
          <w:color w:val="auto"/>
        </w:rPr>
        <w:t>年   月   日</w:t>
      </w:r>
    </w:p>
    <w:p>
      <w:pPr>
        <w:widowControl/>
        <w:spacing w:line="240" w:lineRule="auto"/>
        <w:jc w:val="left"/>
        <w:rPr>
          <w:rFonts w:ascii="仿宋" w:hAnsi="仿宋"/>
          <w:color w:val="auto"/>
          <w:kern w:val="44"/>
          <w:szCs w:val="44"/>
        </w:rPr>
      </w:pPr>
      <w:r>
        <w:rPr>
          <w:rFonts w:ascii="仿宋" w:hAnsi="仿宋"/>
          <w:color w:val="auto"/>
          <w:kern w:val="44"/>
          <w:szCs w:val="44"/>
        </w:rPr>
        <w:br w:type="page"/>
      </w:r>
    </w:p>
    <w:p>
      <w:pPr>
        <w:widowControl/>
        <w:jc w:val="center"/>
        <w:outlineLvl w:val="1"/>
        <w:rPr>
          <w:rFonts w:ascii="仿宋" w:hAnsi="仿宋"/>
          <w:b/>
          <w:color w:val="auto"/>
          <w:sz w:val="32"/>
          <w:szCs w:val="32"/>
        </w:rPr>
      </w:pPr>
      <w:r>
        <w:rPr>
          <w:rFonts w:hint="eastAsia" w:ascii="仿宋" w:hAnsi="仿宋"/>
          <w:b/>
          <w:color w:val="auto"/>
          <w:sz w:val="32"/>
          <w:szCs w:val="32"/>
        </w:rPr>
        <w:t>十三、承诺函</w:t>
      </w:r>
    </w:p>
    <w:p>
      <w:pPr>
        <w:ind w:firstLine="480" w:firstLineChars="200"/>
        <w:jc w:val="left"/>
        <w:rPr>
          <w:rFonts w:ascii="仿宋" w:hAnsi="仿宋"/>
          <w:color w:val="auto"/>
        </w:rPr>
      </w:pPr>
      <w:r>
        <w:rPr>
          <w:rFonts w:hint="eastAsia" w:ascii="仿宋" w:hAnsi="仿宋"/>
          <w:color w:val="auto"/>
        </w:rPr>
        <w:t>我单位郑重承诺如下：</w:t>
      </w:r>
    </w:p>
    <w:p>
      <w:pPr>
        <w:ind w:firstLine="480" w:firstLineChars="200"/>
        <w:jc w:val="left"/>
        <w:rPr>
          <w:rFonts w:ascii="仿宋" w:hAnsi="仿宋"/>
          <w:color w:val="auto"/>
        </w:rPr>
      </w:pPr>
      <w:r>
        <w:rPr>
          <w:rFonts w:hint="eastAsia" w:ascii="仿宋" w:hAnsi="仿宋"/>
          <w:color w:val="auto"/>
        </w:rPr>
        <w:t>□1、如果我单位成为本项目成交人，我单位将按照本项目采购文件的约定支付成交服务费。否则视为我单位提供虚假承诺谋取中标/成交，并承担由此引起的全部法律责任。</w:t>
      </w:r>
    </w:p>
    <w:p>
      <w:pPr>
        <w:ind w:firstLine="480" w:firstLineChars="200"/>
        <w:jc w:val="left"/>
        <w:rPr>
          <w:rFonts w:ascii="仿宋" w:hAnsi="仿宋"/>
          <w:color w:val="auto"/>
        </w:rPr>
      </w:pPr>
      <w:r>
        <w:rPr>
          <w:rFonts w:hint="eastAsia" w:ascii="仿宋" w:hAnsi="仿宋"/>
          <w:color w:val="auto"/>
        </w:rPr>
        <w:t>□2、如果我单位成为本项目成交人，我单位不能按照本项目采购文件的约定支付成交服务费。</w:t>
      </w:r>
    </w:p>
    <w:p>
      <w:pPr>
        <w:ind w:firstLine="480" w:firstLineChars="200"/>
        <w:jc w:val="left"/>
        <w:rPr>
          <w:rFonts w:ascii="仿宋" w:hAnsi="仿宋"/>
          <w:color w:val="auto"/>
        </w:rPr>
      </w:pPr>
      <w:r>
        <w:rPr>
          <w:rFonts w:hint="eastAsia" w:ascii="仿宋" w:hAnsi="仿宋"/>
          <w:color w:val="auto"/>
        </w:rPr>
        <w:t>特此承诺。</w:t>
      </w:r>
    </w:p>
    <w:p>
      <w:pPr>
        <w:jc w:val="right"/>
        <w:rPr>
          <w:rFonts w:ascii="仿宋" w:hAnsi="仿宋"/>
          <w:color w:val="auto"/>
        </w:rPr>
      </w:pPr>
      <w:r>
        <w:rPr>
          <w:rFonts w:hint="eastAsia" w:ascii="仿宋" w:hAnsi="仿宋"/>
          <w:color w:val="auto"/>
        </w:rPr>
        <w:t>供应商名称（盖单位公章）：</w:t>
      </w:r>
    </w:p>
    <w:p>
      <w:pPr>
        <w:jc w:val="right"/>
        <w:rPr>
          <w:rFonts w:ascii="仿宋" w:hAnsi="仿宋"/>
          <w:color w:val="auto"/>
        </w:rPr>
      </w:pPr>
      <w:r>
        <w:rPr>
          <w:rFonts w:hint="eastAsia" w:ascii="仿宋" w:hAnsi="仿宋"/>
          <w:color w:val="auto"/>
        </w:rPr>
        <w:t>法定代表人/单位负责人或授权代表（签字或加盖个人印章）：</w:t>
      </w:r>
    </w:p>
    <w:p>
      <w:pPr>
        <w:jc w:val="right"/>
        <w:rPr>
          <w:rFonts w:ascii="仿宋" w:hAnsi="仿宋"/>
          <w:color w:val="auto"/>
        </w:rPr>
      </w:pPr>
      <w:r>
        <w:rPr>
          <w:rFonts w:hint="eastAsia" w:ascii="仿宋" w:hAnsi="仿宋"/>
          <w:color w:val="auto"/>
        </w:rPr>
        <w:t xml:space="preserve">日期: </w:t>
      </w:r>
    </w:p>
    <w:p>
      <w:pPr>
        <w:jc w:val="left"/>
        <w:rPr>
          <w:rFonts w:ascii="仿宋" w:hAnsi="仿宋"/>
          <w:color w:val="auto"/>
        </w:rPr>
      </w:pPr>
      <w:r>
        <w:rPr>
          <w:rFonts w:hint="eastAsia" w:ascii="仿宋" w:hAnsi="仿宋"/>
          <w:color w:val="auto"/>
        </w:rPr>
        <w:t>注：1、供应商请在以上相应序号前作出选择,在□内打勾、涂黑（■）或以其他符号作出标记均可。</w:t>
      </w:r>
    </w:p>
    <w:p>
      <w:pPr>
        <w:jc w:val="left"/>
        <w:rPr>
          <w:rFonts w:ascii="仿宋" w:hAnsi="仿宋"/>
          <w:color w:val="auto"/>
        </w:rPr>
      </w:pPr>
      <w:r>
        <w:rPr>
          <w:rFonts w:hint="eastAsia" w:ascii="仿宋" w:hAnsi="仿宋"/>
          <w:color w:val="auto"/>
        </w:rPr>
        <w:t>2、本承诺函为单项选择，即只能选择1或2。两项均选择的，视为未实质性满足采购文件要求，其响应文件做无效处理。</w:t>
      </w:r>
    </w:p>
    <w:p>
      <w:pPr>
        <w:jc w:val="left"/>
        <w:rPr>
          <w:rFonts w:ascii="仿宋" w:hAnsi="仿宋"/>
          <w:color w:val="auto"/>
        </w:rPr>
      </w:pPr>
      <w:r>
        <w:rPr>
          <w:rFonts w:hint="eastAsia" w:ascii="仿宋" w:hAnsi="仿宋"/>
          <w:color w:val="auto"/>
        </w:rPr>
        <w:t>3、供应商未作出任何选择的，视为同意选择序号1。</w:t>
      </w:r>
    </w:p>
    <w:p>
      <w:pPr>
        <w:widowControl/>
        <w:spacing w:line="240" w:lineRule="auto"/>
        <w:jc w:val="left"/>
        <w:rPr>
          <w:rFonts w:ascii="仿宋" w:hAnsi="仿宋"/>
          <w:color w:val="auto"/>
        </w:rPr>
      </w:pPr>
      <w:r>
        <w:rPr>
          <w:rFonts w:ascii="仿宋" w:hAnsi="仿宋"/>
          <w:color w:val="auto"/>
        </w:rPr>
        <w:br w:type="page"/>
      </w:r>
    </w:p>
    <w:p>
      <w:pPr>
        <w:jc w:val="left"/>
        <w:rPr>
          <w:rFonts w:ascii="仿宋" w:hAnsi="仿宋"/>
          <w:color w:val="auto"/>
        </w:rPr>
      </w:pPr>
    </w:p>
    <w:p>
      <w:pPr>
        <w:widowControl/>
        <w:jc w:val="center"/>
        <w:outlineLvl w:val="1"/>
        <w:rPr>
          <w:rFonts w:ascii="仿宋" w:hAnsi="仿宋"/>
          <w:b/>
          <w:color w:val="auto"/>
          <w:sz w:val="32"/>
          <w:szCs w:val="32"/>
        </w:rPr>
      </w:pPr>
      <w:r>
        <w:rPr>
          <w:rFonts w:hint="eastAsia" w:ascii="仿宋" w:hAnsi="仿宋"/>
          <w:b/>
          <w:color w:val="auto"/>
          <w:sz w:val="32"/>
          <w:szCs w:val="32"/>
        </w:rPr>
        <w:t>十四、</w:t>
      </w:r>
      <w:r>
        <w:rPr>
          <w:rFonts w:ascii="仿宋" w:hAnsi="仿宋"/>
          <w:b/>
          <w:color w:val="auto"/>
          <w:sz w:val="32"/>
          <w:szCs w:val="32"/>
        </w:rPr>
        <w:t>供应商认为</w:t>
      </w:r>
      <w:r>
        <w:rPr>
          <w:rFonts w:hint="eastAsia" w:ascii="仿宋" w:hAnsi="仿宋"/>
          <w:b/>
          <w:color w:val="auto"/>
          <w:sz w:val="32"/>
          <w:szCs w:val="32"/>
        </w:rPr>
        <w:t>应提供</w:t>
      </w:r>
      <w:r>
        <w:rPr>
          <w:rFonts w:ascii="仿宋" w:hAnsi="仿宋"/>
          <w:b/>
          <w:color w:val="auto"/>
          <w:sz w:val="32"/>
          <w:szCs w:val="32"/>
        </w:rPr>
        <w:t>的其他材料</w:t>
      </w:r>
    </w:p>
    <w:p>
      <w:pPr>
        <w:jc w:val="left"/>
        <w:rPr>
          <w:rFonts w:ascii="仿宋" w:hAnsi="仿宋"/>
          <w:color w:val="auto"/>
        </w:rPr>
      </w:pPr>
    </w:p>
    <w:p>
      <w:pPr>
        <w:widowControl/>
        <w:jc w:val="center"/>
        <w:rPr>
          <w:rFonts w:ascii="仿宋" w:hAnsi="仿宋"/>
          <w:b/>
          <w:color w:val="auto"/>
          <w:sz w:val="32"/>
          <w:szCs w:val="32"/>
        </w:rPr>
      </w:pPr>
    </w:p>
    <w:p>
      <w:pPr>
        <w:widowControl/>
        <w:spacing w:line="240" w:lineRule="auto"/>
        <w:jc w:val="left"/>
        <w:rPr>
          <w:rFonts w:ascii="仿宋" w:hAnsi="仿宋"/>
          <w:b/>
          <w:color w:val="auto"/>
          <w:sz w:val="32"/>
          <w:szCs w:val="32"/>
        </w:rPr>
        <w:sectPr>
          <w:pgSz w:w="11907" w:h="16840"/>
          <w:pgMar w:top="1418" w:right="992" w:bottom="1418" w:left="1418" w:header="851" w:footer="992" w:gutter="0"/>
          <w:cols w:space="425" w:num="1"/>
          <w:docGrid w:linePitch="326" w:charSpace="0"/>
        </w:sectPr>
      </w:pPr>
      <w:r>
        <w:rPr>
          <w:rFonts w:ascii="仿宋" w:hAnsi="仿宋"/>
          <w:b/>
          <w:color w:val="auto"/>
          <w:sz w:val="32"/>
          <w:szCs w:val="32"/>
        </w:rPr>
        <w:br w:type="page"/>
      </w:r>
    </w:p>
    <w:p>
      <w:pPr>
        <w:pStyle w:val="24"/>
        <w:rPr>
          <w:rFonts w:ascii="仿宋" w:hAnsi="仿宋"/>
          <w:color w:val="auto"/>
        </w:rPr>
      </w:pPr>
      <w:bookmarkStart w:id="124" w:name="_Toc37838087"/>
      <w:r>
        <w:rPr>
          <w:rFonts w:hint="eastAsia" w:ascii="仿宋" w:hAnsi="仿宋"/>
          <w:color w:val="auto"/>
        </w:rPr>
        <w:t>第六章  评审方法</w:t>
      </w:r>
      <w:bookmarkEnd w:id="124"/>
    </w:p>
    <w:p>
      <w:pPr>
        <w:pStyle w:val="3"/>
        <w:keepNext w:val="0"/>
        <w:keepLines w:val="0"/>
        <w:spacing w:before="0" w:after="0" w:line="360" w:lineRule="auto"/>
        <w:ind w:firstLine="472" w:firstLineChars="196"/>
        <w:rPr>
          <w:rFonts w:ascii="仿宋" w:hAnsi="仿宋" w:eastAsia="仿宋"/>
          <w:color w:val="auto"/>
          <w:sz w:val="24"/>
          <w:szCs w:val="24"/>
        </w:rPr>
      </w:pPr>
      <w:r>
        <w:rPr>
          <w:rFonts w:hint="eastAsia" w:ascii="仿宋" w:hAnsi="仿宋" w:eastAsia="仿宋"/>
          <w:color w:val="auto"/>
          <w:sz w:val="24"/>
          <w:szCs w:val="24"/>
        </w:rPr>
        <w:t>1.总则</w:t>
      </w:r>
    </w:p>
    <w:p>
      <w:pPr>
        <w:ind w:firstLine="424" w:firstLineChars="177"/>
        <w:rPr>
          <w:color w:val="auto"/>
        </w:rPr>
      </w:pPr>
      <w:r>
        <w:rPr>
          <w:rFonts w:hint="eastAsia"/>
          <w:color w:val="auto"/>
        </w:rPr>
        <w:t>1.1 根据《中国工程物理研究院采购（外协）业务工作规范（试行）》、《中国工程物理研究院询比采购（外协）工作程序（试行）》及相关法律制度，结合采购项目特点制定本评审办法。</w:t>
      </w:r>
    </w:p>
    <w:p>
      <w:pPr>
        <w:ind w:firstLine="424" w:firstLineChars="177"/>
        <w:rPr>
          <w:color w:val="auto"/>
        </w:rPr>
      </w:pPr>
      <w:r>
        <w:rPr>
          <w:rFonts w:hint="eastAsia"/>
          <w:color w:val="auto"/>
        </w:rPr>
        <w:t>1.2 评审工作由</w:t>
      </w:r>
      <w:r>
        <w:rPr>
          <w:rFonts w:hint="eastAsia" w:ascii="仿宋" w:hAnsi="仿宋"/>
          <w:color w:val="auto"/>
        </w:rPr>
        <w:t>采购人或</w:t>
      </w:r>
      <w:r>
        <w:rPr>
          <w:rFonts w:hint="eastAsia"/>
          <w:color w:val="auto"/>
        </w:rPr>
        <w:t>采购代理机构负责组织，具体评审由</w:t>
      </w:r>
      <w:r>
        <w:rPr>
          <w:rFonts w:hint="eastAsia" w:ascii="仿宋" w:hAnsi="仿宋"/>
          <w:color w:val="auto"/>
        </w:rPr>
        <w:t>采购人或</w:t>
      </w:r>
      <w:r>
        <w:rPr>
          <w:rFonts w:hint="eastAsia"/>
          <w:color w:val="auto"/>
        </w:rPr>
        <w:t>采购代理机构依法组建的评审小组负责。</w:t>
      </w:r>
    </w:p>
    <w:p>
      <w:pPr>
        <w:ind w:firstLine="424" w:firstLineChars="177"/>
        <w:rPr>
          <w:color w:val="auto"/>
        </w:rPr>
      </w:pPr>
      <w:r>
        <w:rPr>
          <w:rFonts w:hint="eastAsia"/>
          <w:color w:val="auto"/>
        </w:rPr>
        <w:t>1.3 评审工作应遵循公平、公正、科学及择优的原则，并以相同的评审程序和标准对待所有的供应商。</w:t>
      </w:r>
    </w:p>
    <w:p>
      <w:pPr>
        <w:ind w:firstLine="424" w:firstLineChars="177"/>
        <w:rPr>
          <w:color w:val="auto"/>
        </w:rPr>
      </w:pPr>
      <w:r>
        <w:rPr>
          <w:rFonts w:hint="eastAsia"/>
          <w:color w:val="auto"/>
        </w:rPr>
        <w:t>1.4 评审小组按照询比文件规定的评审方法和标准进行评审，并独立履行下列职责：</w:t>
      </w:r>
    </w:p>
    <w:p>
      <w:pPr>
        <w:ind w:firstLine="424" w:firstLineChars="177"/>
        <w:rPr>
          <w:color w:val="auto"/>
        </w:rPr>
      </w:pPr>
      <w:r>
        <w:rPr>
          <w:rFonts w:hint="eastAsia"/>
          <w:color w:val="auto"/>
        </w:rPr>
        <w:t>（一）熟悉和理解询比文件，确定询比文件内容是否违反国家有关强制性规定或者询比文件存在歧义、重大缺陷；</w:t>
      </w:r>
    </w:p>
    <w:p>
      <w:pPr>
        <w:ind w:firstLine="424" w:firstLineChars="177"/>
        <w:rPr>
          <w:color w:val="auto"/>
        </w:rPr>
      </w:pPr>
      <w:r>
        <w:rPr>
          <w:rFonts w:hint="eastAsia"/>
          <w:color w:val="auto"/>
        </w:rPr>
        <w:t>（二）审查供应商响应文件是否满足询比文件要求，并作出公正评价；</w:t>
      </w:r>
    </w:p>
    <w:p>
      <w:pPr>
        <w:ind w:firstLine="424" w:firstLineChars="177"/>
        <w:rPr>
          <w:color w:val="auto"/>
        </w:rPr>
      </w:pPr>
      <w:r>
        <w:rPr>
          <w:rFonts w:hint="eastAsia"/>
          <w:color w:val="auto"/>
        </w:rPr>
        <w:t>（三）根据需要要求供应商对询比文件有关事项作出澄清、说明或者纠正；</w:t>
      </w:r>
    </w:p>
    <w:p>
      <w:pPr>
        <w:ind w:firstLine="424" w:firstLineChars="177"/>
        <w:rPr>
          <w:color w:val="auto"/>
        </w:rPr>
      </w:pPr>
      <w:r>
        <w:rPr>
          <w:rFonts w:hint="eastAsia"/>
          <w:color w:val="auto"/>
        </w:rPr>
        <w:t>（四）推荐成交供应商，或者受采购人委托确定成交供应商；</w:t>
      </w:r>
    </w:p>
    <w:p>
      <w:pPr>
        <w:ind w:firstLine="424" w:firstLineChars="177"/>
        <w:rPr>
          <w:color w:val="auto"/>
        </w:rPr>
      </w:pPr>
      <w:r>
        <w:rPr>
          <w:rFonts w:hint="eastAsia"/>
          <w:color w:val="auto"/>
        </w:rPr>
        <w:t>（五）编写评审报告并进行签署；</w:t>
      </w:r>
    </w:p>
    <w:p>
      <w:pPr>
        <w:ind w:firstLine="424" w:firstLineChars="177"/>
        <w:rPr>
          <w:color w:val="auto"/>
        </w:rPr>
      </w:pPr>
      <w:r>
        <w:rPr>
          <w:rFonts w:hint="eastAsia"/>
          <w:color w:val="auto"/>
        </w:rPr>
        <w:t>（六）向采购人或者其他监督管理部门报告非法干预评审工作的行为；</w:t>
      </w:r>
    </w:p>
    <w:p>
      <w:pPr>
        <w:ind w:firstLine="424" w:firstLineChars="177"/>
        <w:rPr>
          <w:color w:val="auto"/>
        </w:rPr>
      </w:pPr>
      <w:r>
        <w:rPr>
          <w:rFonts w:hint="eastAsia"/>
          <w:color w:val="auto"/>
        </w:rPr>
        <w:t>（七）法律、法规和规章及其他相关制度规定的其他职责。</w:t>
      </w:r>
    </w:p>
    <w:p>
      <w:pPr>
        <w:ind w:firstLine="424" w:firstLineChars="177"/>
        <w:rPr>
          <w:color w:val="auto"/>
        </w:rPr>
      </w:pPr>
      <w:r>
        <w:rPr>
          <w:rFonts w:hint="eastAsia"/>
          <w:color w:val="auto"/>
        </w:rPr>
        <w:t>1.5评审过程独立、保密。供应商非法干预评审过程的，其响应文件作为无效处理。</w:t>
      </w:r>
    </w:p>
    <w:p>
      <w:pPr>
        <w:ind w:firstLine="424" w:firstLineChars="177"/>
        <w:rPr>
          <w:color w:val="auto"/>
        </w:rPr>
      </w:pPr>
      <w:r>
        <w:rPr>
          <w:rFonts w:hint="eastAsia"/>
          <w:color w:val="auto"/>
        </w:rPr>
        <w:t>1.6 评审小组评价响应文件，除评审小组要求其澄清、说明或者纠正而提供的资料外，仅依据响应文件本身的内容，不寻求供应商提供其他外部证据。</w:t>
      </w:r>
    </w:p>
    <w:p>
      <w:pPr>
        <w:pStyle w:val="3"/>
        <w:keepNext w:val="0"/>
        <w:keepLines w:val="0"/>
        <w:spacing w:before="0" w:after="0" w:line="360" w:lineRule="auto"/>
        <w:ind w:firstLine="472" w:firstLineChars="196"/>
        <w:rPr>
          <w:rFonts w:ascii="仿宋" w:hAnsi="仿宋" w:eastAsia="仿宋"/>
          <w:color w:val="auto"/>
          <w:sz w:val="24"/>
          <w:szCs w:val="24"/>
        </w:rPr>
      </w:pPr>
      <w:r>
        <w:rPr>
          <w:rFonts w:hint="eastAsia" w:ascii="仿宋" w:hAnsi="仿宋" w:eastAsia="仿宋"/>
          <w:color w:val="auto"/>
          <w:sz w:val="24"/>
          <w:szCs w:val="24"/>
        </w:rPr>
        <w:t>2.评审程序</w:t>
      </w:r>
    </w:p>
    <w:p>
      <w:pPr>
        <w:ind w:firstLine="424" w:firstLineChars="177"/>
        <w:rPr>
          <w:color w:val="auto"/>
        </w:rPr>
      </w:pPr>
      <w:r>
        <w:rPr>
          <w:rFonts w:hint="eastAsia"/>
          <w:color w:val="auto"/>
        </w:rPr>
        <w:t>2.1熟悉和理解询比文件和停止评审。</w:t>
      </w:r>
    </w:p>
    <w:p>
      <w:pPr>
        <w:ind w:firstLine="424" w:firstLineChars="177"/>
        <w:rPr>
          <w:color w:val="auto"/>
        </w:rPr>
      </w:pPr>
      <w:r>
        <w:rPr>
          <w:rFonts w:hint="eastAsia"/>
          <w:color w:val="auto"/>
        </w:rPr>
        <w:t>2.1.1 评审小组正式评审前，应当对询比文件进行熟悉和理解，内容主要包括询比文件中供应商资格条件要求、采购项目技术、服务和商务要求、评审方法和标准以及采购合同主要条款等。</w:t>
      </w:r>
    </w:p>
    <w:p>
      <w:pPr>
        <w:ind w:firstLine="424" w:firstLineChars="177"/>
        <w:rPr>
          <w:color w:val="auto"/>
        </w:rPr>
      </w:pPr>
      <w:r>
        <w:rPr>
          <w:rFonts w:hint="eastAsia"/>
          <w:color w:val="auto"/>
        </w:rPr>
        <w:t>2.1.2本询比文件有下列情形之一的，评审小组应当停止评审：</w:t>
      </w:r>
    </w:p>
    <w:p>
      <w:pPr>
        <w:ind w:firstLine="424" w:firstLineChars="177"/>
        <w:rPr>
          <w:color w:val="auto"/>
        </w:rPr>
      </w:pPr>
      <w:r>
        <w:rPr>
          <w:rFonts w:hint="eastAsia"/>
          <w:color w:val="auto"/>
        </w:rPr>
        <w:t>（1）询比文件的规定存在重大歧义、重大缺陷，并导致无法评审的；</w:t>
      </w:r>
    </w:p>
    <w:p>
      <w:pPr>
        <w:ind w:firstLine="424" w:firstLineChars="177"/>
        <w:rPr>
          <w:color w:val="auto"/>
        </w:rPr>
      </w:pPr>
      <w:r>
        <w:rPr>
          <w:rFonts w:hint="eastAsia"/>
          <w:color w:val="auto"/>
        </w:rPr>
        <w:t>（2）询比文件明显以不合理条件对供应商实行差别待遇或者歧视待遇的；</w:t>
      </w:r>
    </w:p>
    <w:p>
      <w:pPr>
        <w:ind w:firstLine="424" w:firstLineChars="177"/>
        <w:rPr>
          <w:color w:val="auto"/>
        </w:rPr>
      </w:pPr>
      <w:r>
        <w:rPr>
          <w:rFonts w:hint="eastAsia"/>
          <w:color w:val="auto"/>
        </w:rPr>
        <w:t>（3）询比文件载明的成交原则不合规定的；</w:t>
      </w:r>
    </w:p>
    <w:p>
      <w:pPr>
        <w:ind w:firstLine="424" w:firstLineChars="177"/>
        <w:rPr>
          <w:color w:val="auto"/>
        </w:rPr>
      </w:pPr>
      <w:r>
        <w:rPr>
          <w:rFonts w:hint="eastAsia"/>
          <w:color w:val="auto"/>
        </w:rPr>
        <w:t>（4）询比文件有违反其他有关强制性规定的情形。</w:t>
      </w:r>
    </w:p>
    <w:p>
      <w:pPr>
        <w:ind w:firstLine="426" w:firstLineChars="177"/>
        <w:rPr>
          <w:b/>
          <w:color w:val="auto"/>
        </w:rPr>
      </w:pPr>
      <w:r>
        <w:rPr>
          <w:rFonts w:hint="eastAsia"/>
          <w:b/>
          <w:color w:val="auto"/>
        </w:rPr>
        <w:t>2.1.3出现本条2.1.2规定应当停止评审情形的，评审小组应当向采购人书面说明情况。除本条规定的情形外，评审小组不得以任何方式和理由停止评审。</w:t>
      </w:r>
    </w:p>
    <w:p>
      <w:pPr>
        <w:ind w:firstLine="424" w:firstLineChars="177"/>
        <w:rPr>
          <w:color w:val="auto"/>
        </w:rPr>
      </w:pPr>
      <w:r>
        <w:rPr>
          <w:rFonts w:hint="eastAsia"/>
          <w:color w:val="auto"/>
        </w:rPr>
        <w:t>2.2 资格性审查</w:t>
      </w:r>
    </w:p>
    <w:p>
      <w:pPr>
        <w:ind w:firstLine="424" w:firstLineChars="177"/>
        <w:rPr>
          <w:b/>
          <w:color w:val="auto"/>
        </w:rPr>
      </w:pPr>
      <w:r>
        <w:rPr>
          <w:rFonts w:hint="eastAsia"/>
          <w:color w:val="auto"/>
        </w:rPr>
        <w:t>2.2.1</w:t>
      </w:r>
      <w:r>
        <w:rPr>
          <w:rFonts w:hint="eastAsia"/>
          <w:b/>
          <w:color w:val="auto"/>
        </w:rPr>
        <w:t>评审小组应依据相关规定和询比文件的规定，对响应文件是否按照询比文件第三章要求提供证明材料、是否属于禁止参加询比的供应商等进行审查，以确定供应商是否具备询比资格。</w:t>
      </w:r>
    </w:p>
    <w:p>
      <w:pPr>
        <w:ind w:firstLine="424" w:firstLineChars="177"/>
        <w:rPr>
          <w:color w:val="auto"/>
        </w:rPr>
      </w:pPr>
      <w:r>
        <w:rPr>
          <w:rFonts w:hint="eastAsia"/>
          <w:color w:val="auto"/>
        </w:rPr>
        <w:t>2.2.2资格性审查结束后，评审小组应当出具资格性审查报告，</w:t>
      </w:r>
      <w:r>
        <w:rPr>
          <w:color w:val="auto"/>
        </w:rPr>
        <w:t>未通过资格审查的响应文件按无效响应处理。</w:t>
      </w:r>
    </w:p>
    <w:p>
      <w:pPr>
        <w:ind w:firstLine="424" w:firstLineChars="177"/>
        <w:rPr>
          <w:color w:val="auto"/>
        </w:rPr>
      </w:pPr>
      <w:r>
        <w:rPr>
          <w:rFonts w:hint="eastAsia"/>
          <w:color w:val="auto"/>
        </w:rPr>
        <w:t>2.2.3</w:t>
      </w:r>
      <w:r>
        <w:rPr>
          <w:color w:val="auto"/>
        </w:rPr>
        <w:t xml:space="preserve"> </w:t>
      </w:r>
      <w:r>
        <w:rPr>
          <w:rFonts w:hint="eastAsia"/>
          <w:b/>
          <w:color w:val="auto"/>
        </w:rPr>
        <w:t>通过资格性审查的供应商不足3家的，终止本次采购活动，并发布终止采购活动通知。</w:t>
      </w:r>
    </w:p>
    <w:p>
      <w:pPr>
        <w:ind w:firstLine="426" w:firstLineChars="177"/>
        <w:rPr>
          <w:color w:val="auto"/>
        </w:rPr>
      </w:pPr>
      <w:r>
        <w:rPr>
          <w:rFonts w:hint="eastAsia"/>
          <w:b/>
          <w:color w:val="auto"/>
        </w:rPr>
        <w:t>2.3</w:t>
      </w:r>
      <w:r>
        <w:rPr>
          <w:color w:val="auto"/>
        </w:rPr>
        <w:t xml:space="preserve"> </w:t>
      </w:r>
      <w:r>
        <w:rPr>
          <w:rFonts w:hint="eastAsia"/>
          <w:color w:val="auto"/>
        </w:rPr>
        <w:t>符合性审查</w:t>
      </w:r>
    </w:p>
    <w:p>
      <w:pPr>
        <w:ind w:firstLine="424" w:firstLineChars="177"/>
        <w:rPr>
          <w:bCs/>
          <w:color w:val="auto"/>
        </w:rPr>
      </w:pPr>
      <w:r>
        <w:rPr>
          <w:color w:val="auto"/>
        </w:rPr>
        <w:t>评审小组对响应文件的有效性、完整性和对采购文件的响应程度进行审查。</w:t>
      </w:r>
      <w:r>
        <w:rPr>
          <w:bCs/>
          <w:color w:val="auto"/>
        </w:rPr>
        <w:t>审查中发现供应商响应文件属于下列情况之一的，应按照无效响应文件处理：</w:t>
      </w:r>
    </w:p>
    <w:p>
      <w:pPr>
        <w:overflowPunct w:val="0"/>
        <w:autoSpaceDE w:val="0"/>
        <w:autoSpaceDN w:val="0"/>
        <w:ind w:firstLine="482" w:firstLineChars="200"/>
        <w:rPr>
          <w:rFonts w:ascii="仿宋" w:hAnsi="仿宋"/>
          <w:b/>
          <w:color w:val="auto"/>
        </w:rPr>
      </w:pPr>
      <w:r>
        <w:rPr>
          <w:rFonts w:hint="eastAsia" w:ascii="仿宋" w:hAnsi="仿宋"/>
          <w:b/>
          <w:color w:val="auto"/>
        </w:rPr>
        <w:t>（一）响应文件正副本数量不足的；</w:t>
      </w:r>
    </w:p>
    <w:p>
      <w:pPr>
        <w:overflowPunct w:val="0"/>
        <w:autoSpaceDE w:val="0"/>
        <w:autoSpaceDN w:val="0"/>
        <w:ind w:firstLine="482" w:firstLineChars="200"/>
        <w:rPr>
          <w:rFonts w:ascii="仿宋" w:hAnsi="仿宋"/>
          <w:b/>
          <w:color w:val="auto"/>
        </w:rPr>
      </w:pPr>
      <w:r>
        <w:rPr>
          <w:rFonts w:hint="eastAsia" w:ascii="仿宋" w:hAnsi="仿宋"/>
          <w:b/>
          <w:color w:val="auto"/>
        </w:rPr>
        <w:t>（二）响应文件组成明显不符合询比文件的规定要求，影响评审委员会评判的；</w:t>
      </w:r>
    </w:p>
    <w:p>
      <w:pPr>
        <w:overflowPunct w:val="0"/>
        <w:autoSpaceDE w:val="0"/>
        <w:autoSpaceDN w:val="0"/>
        <w:ind w:firstLine="482" w:firstLineChars="200"/>
        <w:rPr>
          <w:rFonts w:ascii="仿宋" w:hAnsi="仿宋"/>
          <w:b/>
          <w:color w:val="auto"/>
        </w:rPr>
      </w:pPr>
      <w:r>
        <w:rPr>
          <w:rFonts w:hint="eastAsia" w:ascii="仿宋" w:hAnsi="仿宋"/>
          <w:b/>
          <w:color w:val="auto"/>
        </w:rPr>
        <w:t>（三）响应文件的格式、语言、计量单位、报价货币、知识产权、询比响应有效期等不符合询比文件的规定，影响评审委员会评判的；</w:t>
      </w:r>
    </w:p>
    <w:p>
      <w:pPr>
        <w:overflowPunct w:val="0"/>
        <w:autoSpaceDE w:val="0"/>
        <w:autoSpaceDN w:val="0"/>
        <w:ind w:firstLine="482" w:firstLineChars="200"/>
        <w:rPr>
          <w:rFonts w:ascii="仿宋" w:hAnsi="仿宋"/>
          <w:b/>
          <w:color w:val="auto"/>
        </w:rPr>
      </w:pPr>
      <w:r>
        <w:rPr>
          <w:rFonts w:hint="eastAsia" w:ascii="仿宋" w:hAnsi="仿宋"/>
          <w:b/>
          <w:color w:val="auto"/>
        </w:rPr>
        <w:t>（四）响应报价不符合询比文件规定的价格标底和其他报价规定的；</w:t>
      </w:r>
    </w:p>
    <w:p>
      <w:pPr>
        <w:overflowPunct w:val="0"/>
        <w:autoSpaceDE w:val="0"/>
        <w:autoSpaceDN w:val="0"/>
        <w:ind w:firstLine="482" w:firstLineChars="200"/>
        <w:rPr>
          <w:rFonts w:ascii="仿宋" w:hAnsi="仿宋"/>
          <w:b/>
          <w:color w:val="auto"/>
        </w:rPr>
      </w:pPr>
      <w:r>
        <w:rPr>
          <w:rFonts w:hint="eastAsia" w:ascii="仿宋" w:hAnsi="仿宋"/>
          <w:b/>
          <w:color w:val="auto"/>
        </w:rPr>
        <w:t>（五）技术、商务、服务、采购合同条款应答内容没有完全响应询比文件实质性要求的；</w:t>
      </w:r>
    </w:p>
    <w:p>
      <w:pPr>
        <w:overflowPunct w:val="0"/>
        <w:autoSpaceDE w:val="0"/>
        <w:autoSpaceDN w:val="0"/>
        <w:ind w:firstLine="482" w:firstLineChars="200"/>
        <w:rPr>
          <w:rFonts w:ascii="仿宋" w:hAnsi="仿宋"/>
          <w:b/>
          <w:color w:val="auto"/>
        </w:rPr>
      </w:pPr>
      <w:r>
        <w:rPr>
          <w:rFonts w:hint="eastAsia" w:ascii="仿宋" w:hAnsi="仿宋"/>
          <w:b/>
          <w:color w:val="auto"/>
        </w:rPr>
        <w:t>（六）询比文件有明确要求，但响应文件未载明或者载明的采购项目履约时间、方式、数量与询比文件要求不一致的；</w:t>
      </w:r>
    </w:p>
    <w:p>
      <w:pPr>
        <w:overflowPunct w:val="0"/>
        <w:autoSpaceDE w:val="0"/>
        <w:autoSpaceDN w:val="0"/>
        <w:ind w:firstLine="482" w:firstLineChars="200"/>
        <w:rPr>
          <w:rFonts w:ascii="仿宋" w:hAnsi="仿宋"/>
          <w:b/>
          <w:color w:val="auto"/>
        </w:rPr>
      </w:pPr>
      <w:r>
        <w:rPr>
          <w:rFonts w:hint="eastAsia" w:ascii="仿宋" w:hAnsi="仿宋"/>
          <w:b/>
          <w:color w:val="auto"/>
        </w:rPr>
        <w:t>（七）未响应询比文件的实质性要求或属于询比文件中无效响应情形的。</w:t>
      </w:r>
    </w:p>
    <w:p>
      <w:pPr>
        <w:overflowPunct w:val="0"/>
        <w:autoSpaceDE w:val="0"/>
        <w:autoSpaceDN w:val="0"/>
        <w:ind w:firstLine="480" w:firstLineChars="200"/>
        <w:rPr>
          <w:rFonts w:ascii="仿宋" w:hAnsi="仿宋"/>
          <w:color w:val="auto"/>
        </w:rPr>
      </w:pPr>
      <w:r>
        <w:rPr>
          <w:rFonts w:ascii="仿宋" w:hAnsi="仿宋"/>
          <w:color w:val="auto"/>
        </w:rPr>
        <w:t>公告方式邀请供应商的采购项目，通过符合性审查的供应商仅有2家的，经评审小组确认具备竞争性并出具说明，可继续进行评审。</w:t>
      </w:r>
      <w:r>
        <w:rPr>
          <w:rFonts w:hint="eastAsia" w:ascii="仿宋" w:hAnsi="仿宋"/>
          <w:color w:val="auto"/>
        </w:rPr>
        <w:t>采用直接</w:t>
      </w:r>
      <w:r>
        <w:rPr>
          <w:rFonts w:ascii="仿宋" w:hAnsi="仿宋"/>
          <w:color w:val="auto"/>
        </w:rPr>
        <w:t>邀请方式的采购项目，通过符合性审查的供应商</w:t>
      </w:r>
      <w:r>
        <w:rPr>
          <w:rFonts w:hint="eastAsia" w:ascii="仿宋" w:hAnsi="仿宋"/>
          <w:color w:val="auto"/>
        </w:rPr>
        <w:t>不得少于3家。</w:t>
      </w:r>
    </w:p>
    <w:p>
      <w:pPr>
        <w:ind w:firstLine="424" w:firstLineChars="177"/>
        <w:rPr>
          <w:color w:val="auto"/>
        </w:rPr>
      </w:pPr>
      <w:r>
        <w:rPr>
          <w:rFonts w:hint="eastAsia"/>
          <w:color w:val="auto"/>
        </w:rPr>
        <w:t>2.4比较与评价。按询比文件中规定的评审方法和标准，对未作无效处理的响应文件进行综合比较与评价。</w:t>
      </w:r>
    </w:p>
    <w:p>
      <w:pPr>
        <w:ind w:firstLine="424" w:firstLineChars="177"/>
        <w:rPr>
          <w:color w:val="auto"/>
        </w:rPr>
      </w:pPr>
      <w:r>
        <w:rPr>
          <w:rFonts w:hint="eastAsia"/>
          <w:color w:val="auto"/>
        </w:rPr>
        <w:t>2.5评审小组复核。评分汇总结束后，评审小组应当进行复核，特别对拟推荐为成交候选供应商的、报价最低的、响应文件被认定为无效的进行重点复核。</w:t>
      </w:r>
    </w:p>
    <w:p>
      <w:pPr>
        <w:ind w:firstLine="424" w:firstLineChars="177"/>
        <w:rPr>
          <w:color w:val="auto"/>
        </w:rPr>
      </w:pPr>
      <w:r>
        <w:rPr>
          <w:rFonts w:hint="eastAsia"/>
          <w:color w:val="auto"/>
        </w:rPr>
        <w:t>2.6推荐成交候选供应商。</w:t>
      </w:r>
    </w:p>
    <w:p>
      <w:pPr>
        <w:ind w:firstLine="424" w:firstLineChars="177"/>
        <w:rPr>
          <w:rFonts w:ascii="仿宋" w:hAnsi="仿宋"/>
          <w:color w:val="auto"/>
        </w:rPr>
      </w:pPr>
      <w:r>
        <w:rPr>
          <w:rFonts w:hint="eastAsia" w:ascii="仿宋" w:hAnsi="仿宋"/>
          <w:color w:val="auto"/>
        </w:rPr>
        <w:t>成交候选供应商应当排序。采用</w:t>
      </w:r>
      <w:r>
        <w:rPr>
          <w:rFonts w:ascii="仿宋" w:hAnsi="仿宋"/>
          <w:color w:val="auto"/>
        </w:rPr>
        <w:t>最低价法评审</w:t>
      </w:r>
      <w:r>
        <w:rPr>
          <w:rFonts w:hint="eastAsia" w:ascii="仿宋" w:hAnsi="仿宋"/>
          <w:color w:val="auto"/>
        </w:rPr>
        <w:t>的项目，</w:t>
      </w:r>
      <w:r>
        <w:rPr>
          <w:rFonts w:ascii="仿宋" w:hAnsi="仿宋"/>
          <w:color w:val="auto"/>
        </w:rPr>
        <w:t>评审小组</w:t>
      </w:r>
      <w:r>
        <w:rPr>
          <w:rFonts w:hint="eastAsia" w:ascii="仿宋" w:hAnsi="仿宋"/>
          <w:color w:val="auto"/>
        </w:rPr>
        <w:t>应从实质性响应采购文件要求的供应商中，</w:t>
      </w:r>
      <w:r>
        <w:rPr>
          <w:rFonts w:ascii="仿宋" w:hAnsi="仿宋"/>
          <w:color w:val="auto"/>
        </w:rPr>
        <w:t>根据经评审后的价格由低到高的顺序，推荐候选成交供应商。</w:t>
      </w:r>
      <w:r>
        <w:rPr>
          <w:rFonts w:hint="eastAsia" w:ascii="仿宋" w:hAnsi="仿宋"/>
          <w:color w:val="auto"/>
        </w:rPr>
        <w:t>采用综合评分法评审的项目，根据评审得分由高到低的顺序，推荐候选成交供应商；评审得分相同的，按照报价由低到高的顺序推荐成交候选供应商。</w:t>
      </w:r>
    </w:p>
    <w:p>
      <w:pPr>
        <w:ind w:firstLine="426" w:firstLineChars="177"/>
        <w:rPr>
          <w:rFonts w:ascii="仿宋" w:hAnsi="仿宋"/>
          <w:b/>
          <w:color w:val="auto"/>
        </w:rPr>
      </w:pPr>
      <w:r>
        <w:rPr>
          <w:rFonts w:hint="eastAsia" w:ascii="仿宋" w:hAnsi="仿宋"/>
          <w:b/>
          <w:color w:val="auto"/>
        </w:rPr>
        <w:t>本项目采购人授权</w:t>
      </w:r>
      <w:r>
        <w:rPr>
          <w:rFonts w:ascii="仿宋" w:hAnsi="仿宋"/>
          <w:b/>
          <w:color w:val="auto"/>
        </w:rPr>
        <w:t>评审</w:t>
      </w:r>
      <w:r>
        <w:rPr>
          <w:rFonts w:hint="eastAsia" w:ascii="仿宋" w:hAnsi="仿宋"/>
          <w:b/>
          <w:color w:val="auto"/>
        </w:rPr>
        <w:t>小组直接确定成交供应商。采用最低价法评审的项目，报价相同的，由</w:t>
      </w:r>
      <w:r>
        <w:rPr>
          <w:rFonts w:ascii="仿宋" w:hAnsi="仿宋"/>
          <w:b/>
          <w:color w:val="auto"/>
        </w:rPr>
        <w:t>评审</w:t>
      </w:r>
      <w:r>
        <w:rPr>
          <w:rFonts w:hint="eastAsia" w:ascii="仿宋" w:hAnsi="仿宋"/>
          <w:b/>
          <w:color w:val="auto"/>
        </w:rPr>
        <w:t>小组自主采取公平、择优的方式确定成交供应商。采用综合评分法评审的项目，评审得分且报价相同的并列，由</w:t>
      </w:r>
      <w:r>
        <w:rPr>
          <w:rFonts w:ascii="仿宋" w:hAnsi="仿宋"/>
          <w:b/>
          <w:color w:val="auto"/>
        </w:rPr>
        <w:t>评审</w:t>
      </w:r>
      <w:r>
        <w:rPr>
          <w:rFonts w:hint="eastAsia" w:ascii="仿宋" w:hAnsi="仿宋"/>
          <w:b/>
          <w:color w:val="auto"/>
        </w:rPr>
        <w:t>小组自主采取公平、择优的方式确定成交供应商。</w:t>
      </w:r>
    </w:p>
    <w:p>
      <w:pPr>
        <w:ind w:firstLine="424" w:firstLineChars="177"/>
        <w:rPr>
          <w:rFonts w:ascii="仿宋" w:hAnsi="仿宋"/>
          <w:color w:val="auto"/>
        </w:rPr>
      </w:pPr>
      <w:r>
        <w:rPr>
          <w:rFonts w:ascii="仿宋" w:hAnsi="仿宋"/>
          <w:color w:val="auto"/>
        </w:rPr>
        <w:t>公告方式邀请供应商的采购项目</w:t>
      </w:r>
      <w:r>
        <w:rPr>
          <w:rFonts w:hint="eastAsia" w:ascii="仿宋" w:hAnsi="仿宋"/>
          <w:color w:val="auto"/>
        </w:rPr>
        <w:t>，经评审小组确认具备竞争性并出具说明的，可推荐不少于2家成交候选供应商。采用直接</w:t>
      </w:r>
      <w:r>
        <w:rPr>
          <w:rFonts w:ascii="仿宋" w:hAnsi="仿宋"/>
          <w:color w:val="auto"/>
        </w:rPr>
        <w:t>邀请方式的采购项目，</w:t>
      </w:r>
      <w:r>
        <w:rPr>
          <w:rFonts w:hint="eastAsia" w:ascii="仿宋" w:hAnsi="仿宋"/>
          <w:color w:val="auto"/>
        </w:rPr>
        <w:t>推荐的成交候选供应商不得少于3家。</w:t>
      </w:r>
    </w:p>
    <w:p>
      <w:pPr>
        <w:ind w:firstLine="424" w:firstLineChars="177"/>
        <w:rPr>
          <w:color w:val="auto"/>
        </w:rPr>
      </w:pPr>
      <w:r>
        <w:rPr>
          <w:rFonts w:hint="eastAsia"/>
          <w:color w:val="auto"/>
        </w:rPr>
        <w:t>2.7采购代理机构现场复核评审结果。</w:t>
      </w:r>
    </w:p>
    <w:p>
      <w:pPr>
        <w:ind w:firstLine="422" w:firstLineChars="176"/>
        <w:rPr>
          <w:rFonts w:ascii="仿宋" w:hAnsi="仿宋"/>
          <w:color w:val="auto"/>
        </w:rPr>
      </w:pPr>
      <w:r>
        <w:rPr>
          <w:rFonts w:hint="eastAsia"/>
          <w:color w:val="auto"/>
        </w:rPr>
        <w:t>2.7.1</w:t>
      </w:r>
      <w:r>
        <w:rPr>
          <w:rFonts w:hint="eastAsia" w:ascii="仿宋" w:hAnsi="仿宋"/>
          <w:color w:val="auto"/>
        </w:rPr>
        <w:t>推荐成交候选供应商后，评审小组拟出具评审报告前，采购代理机构应当组织本单位工作人员，对评审结果进行复核，出具复核表，复核工作如下：</w:t>
      </w:r>
    </w:p>
    <w:p>
      <w:pPr>
        <w:rPr>
          <w:rFonts w:ascii="仿宋" w:hAnsi="仿宋"/>
          <w:bCs/>
          <w:color w:val="auto"/>
        </w:rPr>
      </w:pPr>
      <w:r>
        <w:rPr>
          <w:rFonts w:hint="eastAsia" w:ascii="仿宋" w:hAnsi="仿宋"/>
          <w:bCs/>
          <w:color w:val="auto"/>
        </w:rPr>
        <w:t>（一）检查评审资料是否齐全，应签字的是否漏签、错签。</w:t>
      </w:r>
    </w:p>
    <w:p>
      <w:pPr>
        <w:pStyle w:val="10"/>
        <w:rPr>
          <w:rFonts w:ascii="仿宋" w:hAnsi="仿宋"/>
          <w:bCs/>
          <w:color w:val="auto"/>
        </w:rPr>
      </w:pPr>
      <w:r>
        <w:rPr>
          <w:rFonts w:hint="eastAsia" w:ascii="仿宋" w:hAnsi="仿宋"/>
          <w:bCs/>
          <w:color w:val="auto"/>
        </w:rPr>
        <w:t>（二）复核资格审核是否错误。</w:t>
      </w:r>
    </w:p>
    <w:p>
      <w:pPr>
        <w:rPr>
          <w:rFonts w:ascii="仿宋" w:hAnsi="仿宋"/>
          <w:bCs/>
          <w:color w:val="auto"/>
        </w:rPr>
      </w:pPr>
      <w:r>
        <w:rPr>
          <w:rFonts w:hint="eastAsia" w:ascii="仿宋" w:hAnsi="仿宋"/>
          <w:bCs/>
          <w:color w:val="auto"/>
        </w:rPr>
        <w:t>（三）复核价格计算是否错误、分值汇总计算是否错误、分项评分是否超出评分标准范围、客观分评分是否不一致。</w:t>
      </w:r>
    </w:p>
    <w:p>
      <w:pPr>
        <w:pStyle w:val="10"/>
        <w:rPr>
          <w:rFonts w:ascii="仿宋" w:hAnsi="仿宋"/>
          <w:bCs/>
          <w:color w:val="auto"/>
        </w:rPr>
      </w:pPr>
      <w:r>
        <w:rPr>
          <w:rFonts w:hint="eastAsia" w:ascii="仿宋" w:hAnsi="仿宋"/>
          <w:bCs/>
          <w:color w:val="auto"/>
        </w:rPr>
        <w:t>（四）核对认定无效的情形是否符合采购文件相关规定。</w:t>
      </w:r>
    </w:p>
    <w:p>
      <w:pPr>
        <w:rPr>
          <w:bCs/>
          <w:color w:val="auto"/>
        </w:rPr>
      </w:pPr>
      <w:r>
        <w:rPr>
          <w:rFonts w:hint="eastAsia" w:ascii="仿宋" w:hAnsi="仿宋"/>
          <w:bCs/>
          <w:color w:val="auto"/>
        </w:rPr>
        <w:t>（五）核对排名第一的候选供应商是否存在应认定无效未认定的情形。</w:t>
      </w:r>
    </w:p>
    <w:p>
      <w:pPr>
        <w:ind w:firstLine="424" w:firstLineChars="177"/>
        <w:rPr>
          <w:color w:val="auto"/>
        </w:rPr>
      </w:pPr>
      <w:r>
        <w:rPr>
          <w:rFonts w:hint="eastAsia" w:ascii="仿宋" w:hAnsi="仿宋" w:cs="仿宋"/>
          <w:bCs/>
          <w:color w:val="auto"/>
        </w:rPr>
        <w:t>存在上述情形，</w:t>
      </w:r>
      <w:r>
        <w:rPr>
          <w:rFonts w:hint="eastAsia" w:ascii="仿宋" w:hAnsi="仿宋" w:cs="仿宋"/>
          <w:color w:val="auto"/>
        </w:rPr>
        <w:t>采购代理机构应当根据情况书面建议评审小组现场修改评审结果。由评审小组自主决定是否采纳采购代理机构的书面建议，并承担独立评审责任。评审小组采纳采购代理机构书面建议的，应当按照规定现场修改评审结果或者重新评审，并在评审报告中详细记载有关事宜；不采纳采购代理机构书面建议的，应当书面说明理由。采购代理机构书面建议未被评审小组采纳的，应当按照规定程序要求继续组织实施采购活动，不得擅自中止采购活动。采购代理机构认为评审小组评审结果不合法的，应当书面报告相关管理部门</w:t>
      </w:r>
      <w:r>
        <w:rPr>
          <w:rFonts w:hint="eastAsia"/>
          <w:color w:val="auto"/>
        </w:rPr>
        <w:t>。</w:t>
      </w:r>
    </w:p>
    <w:p>
      <w:pPr>
        <w:ind w:firstLine="424" w:firstLineChars="177"/>
        <w:rPr>
          <w:color w:val="auto"/>
        </w:rPr>
      </w:pPr>
      <w:r>
        <w:rPr>
          <w:rFonts w:hint="eastAsia"/>
          <w:color w:val="auto"/>
        </w:rPr>
        <w:t>采购代理机构复核过程中，评审小组成员不得离开评审现场。</w:t>
      </w:r>
    </w:p>
    <w:p>
      <w:pPr>
        <w:ind w:firstLine="424" w:firstLineChars="177"/>
        <w:rPr>
          <w:color w:val="auto"/>
        </w:rPr>
      </w:pPr>
      <w:r>
        <w:rPr>
          <w:rFonts w:hint="eastAsia"/>
          <w:color w:val="auto"/>
        </w:rPr>
        <w:t>2.8编写评审报告。评审小组推荐成交候选供应商后，应向采购代理机构出具评审报告。评审报告应当包括以下主要内容：</w:t>
      </w:r>
    </w:p>
    <w:p>
      <w:pPr>
        <w:ind w:firstLine="424" w:firstLineChars="177"/>
        <w:rPr>
          <w:color w:val="auto"/>
        </w:rPr>
      </w:pPr>
      <w:r>
        <w:rPr>
          <w:rFonts w:hint="eastAsia"/>
          <w:color w:val="auto"/>
        </w:rPr>
        <w:t>（1）邀请供应商参加采购活动的具体方式和相关情况，以及参加采购活动的供应商名单；</w:t>
      </w:r>
    </w:p>
    <w:p>
      <w:pPr>
        <w:ind w:firstLine="424" w:firstLineChars="177"/>
        <w:rPr>
          <w:color w:val="auto"/>
        </w:rPr>
      </w:pPr>
      <w:r>
        <w:rPr>
          <w:rFonts w:hint="eastAsia"/>
          <w:color w:val="auto"/>
        </w:rPr>
        <w:t>（2）评审日期和地点，评审小组成员名单；</w:t>
      </w:r>
    </w:p>
    <w:p>
      <w:pPr>
        <w:ind w:firstLine="424" w:firstLineChars="177"/>
        <w:rPr>
          <w:color w:val="auto"/>
        </w:rPr>
      </w:pPr>
      <w:r>
        <w:rPr>
          <w:rFonts w:hint="eastAsia"/>
          <w:color w:val="auto"/>
        </w:rPr>
        <w:t>（3）评审情况说明（包括对供应商的资格审查情况、供应商响应文件评审情况、无效响应文件情况说明等）；</w:t>
      </w:r>
    </w:p>
    <w:p>
      <w:pPr>
        <w:ind w:firstLine="424" w:firstLineChars="177"/>
        <w:rPr>
          <w:color w:val="auto"/>
        </w:rPr>
      </w:pPr>
      <w:r>
        <w:rPr>
          <w:rFonts w:hint="eastAsia"/>
          <w:color w:val="auto"/>
        </w:rPr>
        <w:t>（4）供应商价格比较一览表（最低价法）、供应商评分比较一览表（综合评分法）；</w:t>
      </w:r>
    </w:p>
    <w:p>
      <w:pPr>
        <w:ind w:firstLine="424" w:firstLineChars="177"/>
        <w:rPr>
          <w:color w:val="auto"/>
        </w:rPr>
      </w:pPr>
      <w:r>
        <w:rPr>
          <w:rFonts w:hint="eastAsia"/>
          <w:color w:val="auto"/>
        </w:rPr>
        <w:t>（5）评审后的供应商排序；</w:t>
      </w:r>
    </w:p>
    <w:p>
      <w:pPr>
        <w:ind w:firstLine="424" w:firstLineChars="177"/>
        <w:rPr>
          <w:color w:val="auto"/>
        </w:rPr>
      </w:pPr>
      <w:r>
        <w:rPr>
          <w:rFonts w:hint="eastAsia"/>
          <w:color w:val="auto"/>
        </w:rPr>
        <w:t>（6）推荐的候选成交供应商的名单与签订合同前要处理的事宜；</w:t>
      </w:r>
    </w:p>
    <w:p>
      <w:pPr>
        <w:ind w:firstLine="424" w:firstLineChars="177"/>
        <w:rPr>
          <w:color w:val="auto"/>
        </w:rPr>
      </w:pPr>
      <w:r>
        <w:rPr>
          <w:rFonts w:hint="eastAsia"/>
          <w:color w:val="auto"/>
        </w:rPr>
        <w:t>（7）澄清、说明、补正事项纪要。</w:t>
      </w:r>
    </w:p>
    <w:p>
      <w:pPr>
        <w:ind w:firstLine="424" w:firstLineChars="177"/>
        <w:rPr>
          <w:color w:val="auto"/>
        </w:rPr>
      </w:pPr>
      <w:r>
        <w:rPr>
          <w:rFonts w:hint="eastAsia"/>
          <w:color w:val="auto"/>
        </w:rPr>
        <w:t>评审报告应当由评审小组全体人员签字认可。评审小组成员对评审报告有异议的，评审小组按照少数服从多数的原则推荐成交候选供应商，采购程序继续进行。对评审报告有异议的评审小组成员，应当在报告上签署不同意见并说明理由，由评审小组书面记录相关情况。评审小组成员拒绝在报告上签字又不书面说明其不同意见和理由的，视为同意评审报告。</w:t>
      </w:r>
    </w:p>
    <w:p>
      <w:pPr>
        <w:ind w:firstLine="424" w:firstLineChars="177"/>
        <w:rPr>
          <w:color w:val="auto"/>
        </w:rPr>
      </w:pPr>
      <w:r>
        <w:rPr>
          <w:rFonts w:hint="eastAsia"/>
          <w:color w:val="auto"/>
        </w:rPr>
        <w:t>2.9评审异议处理规则。在评审过程中，评审小组成员对响应文件是否符合询比文件规定存在争议的，应当以少数服从多数的原则处理，但不违背询比文件规定。有不同意见的评审小组成员认为认定过程和结果不符合法律法规或者询比文件规定的，应当在评审报告中予以反映。</w:t>
      </w:r>
    </w:p>
    <w:p>
      <w:pPr>
        <w:ind w:firstLine="424" w:firstLineChars="177"/>
        <w:rPr>
          <w:color w:val="auto"/>
        </w:rPr>
      </w:pPr>
      <w:r>
        <w:rPr>
          <w:rFonts w:hint="eastAsia"/>
          <w:color w:val="auto"/>
        </w:rPr>
        <w:t>2.10供应商澄清、说明</w:t>
      </w:r>
    </w:p>
    <w:p>
      <w:pPr>
        <w:ind w:firstLine="424" w:firstLineChars="177"/>
        <w:rPr>
          <w:color w:val="auto"/>
        </w:rPr>
      </w:pPr>
      <w:r>
        <w:rPr>
          <w:rFonts w:hint="eastAsia"/>
          <w:color w:val="auto"/>
        </w:rPr>
        <w:t>2.10.1评审小组在对响应文件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ind w:firstLine="424" w:firstLineChars="177"/>
        <w:rPr>
          <w:color w:val="auto"/>
        </w:rPr>
      </w:pPr>
      <w:r>
        <w:rPr>
          <w:rFonts w:hint="eastAsia"/>
          <w:color w:val="auto"/>
        </w:rPr>
        <w:t>2.10.2评审小组要求供应商澄清、说明或者更正响应文件应当以书面形式作出。供应商的澄清、说明或者更正应当由法定代表人/单位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ind w:firstLine="424" w:firstLineChars="177"/>
        <w:rPr>
          <w:color w:val="auto"/>
        </w:rPr>
      </w:pPr>
      <w:r>
        <w:rPr>
          <w:rFonts w:hint="eastAsia"/>
          <w:color w:val="auto"/>
        </w:rPr>
        <w:t>2.10.3报价如果出现下列不一致的，可按以下原则进行修改：</w:t>
      </w:r>
    </w:p>
    <w:p>
      <w:pPr>
        <w:ind w:firstLine="424" w:firstLineChars="177"/>
        <w:rPr>
          <w:color w:val="auto"/>
        </w:rPr>
      </w:pPr>
      <w:r>
        <w:rPr>
          <w:rFonts w:hint="eastAsia"/>
          <w:color w:val="auto"/>
        </w:rPr>
        <w:t>（一）大写金额和小写金额不一致的，以大写金额为准，但大写金额文字存在错误的，应当先对大写金额的文字错误进行澄清、说明或者更正，再行修正。</w:t>
      </w:r>
    </w:p>
    <w:p>
      <w:pPr>
        <w:ind w:firstLine="424" w:firstLineChars="177"/>
        <w:rPr>
          <w:color w:val="auto"/>
        </w:rPr>
      </w:pPr>
      <w:r>
        <w:rPr>
          <w:rFonts w:hint="eastAsia"/>
          <w:color w:val="auto"/>
        </w:rPr>
        <w:t>（二）单价金额小数点或者百分比有明显错位的，以总价为准，修正单价。</w:t>
      </w:r>
    </w:p>
    <w:p>
      <w:pPr>
        <w:ind w:firstLine="424" w:firstLineChars="177"/>
        <w:rPr>
          <w:color w:val="auto"/>
        </w:rPr>
      </w:pPr>
      <w:r>
        <w:rPr>
          <w:rFonts w:hint="eastAsia"/>
          <w:color w:val="auto"/>
        </w:rPr>
        <w:t>（三）总价金额与按单价汇总金额不一致的，以单价金额计算结果为准，但单价或者单价汇总金额存在数字或者文字错误的，应当先对数字或者文字错误进行澄清、说明或者更正，再行修正。</w:t>
      </w:r>
    </w:p>
    <w:p>
      <w:pPr>
        <w:ind w:firstLine="424" w:firstLineChars="177"/>
        <w:rPr>
          <w:color w:val="auto"/>
        </w:rPr>
      </w:pPr>
      <w:r>
        <w:rPr>
          <w:rFonts w:hint="eastAsia"/>
          <w:color w:val="auto"/>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ind w:firstLine="424" w:firstLineChars="177"/>
        <w:rPr>
          <w:color w:val="auto"/>
        </w:rPr>
      </w:pPr>
      <w:r>
        <w:rPr>
          <w:rFonts w:hint="eastAsia"/>
          <w:color w:val="auto"/>
        </w:rPr>
        <w:t>不得未经澄清、说明或者更正，直接将供应商响应文件作为无效处理。对不同文字文本响应文件的解释发生异议的，以中文文本为准。</w:t>
      </w:r>
    </w:p>
    <w:p>
      <w:pPr>
        <w:ind w:firstLine="424" w:firstLineChars="177"/>
        <w:rPr>
          <w:color w:val="auto"/>
        </w:rPr>
      </w:pPr>
      <w:r>
        <w:rPr>
          <w:rFonts w:hint="eastAsia"/>
          <w:color w:val="auto"/>
        </w:rPr>
        <w:t>2.11终止询比采购活动。</w:t>
      </w:r>
    </w:p>
    <w:p>
      <w:pPr>
        <w:ind w:firstLine="424" w:firstLineChars="177"/>
        <w:rPr>
          <w:color w:val="auto"/>
        </w:rPr>
      </w:pPr>
      <w:r>
        <w:rPr>
          <w:rFonts w:hint="eastAsia"/>
          <w:color w:val="auto"/>
        </w:rPr>
        <w:t>出现下列情形之一的，采购人或者采购代理机构应当终止询比采购活动，重新开展采购活动：</w:t>
      </w:r>
    </w:p>
    <w:p>
      <w:pPr>
        <w:ind w:firstLine="424" w:firstLineChars="177"/>
        <w:rPr>
          <w:color w:val="auto"/>
        </w:rPr>
      </w:pPr>
      <w:r>
        <w:rPr>
          <w:rFonts w:hint="eastAsia"/>
          <w:color w:val="auto"/>
        </w:rPr>
        <w:t>（1）因情况变化，不再符合规定的询比采购方式适用情形的；</w:t>
      </w:r>
    </w:p>
    <w:p>
      <w:pPr>
        <w:ind w:firstLine="424" w:firstLineChars="177"/>
        <w:rPr>
          <w:color w:val="auto"/>
        </w:rPr>
      </w:pPr>
      <w:r>
        <w:rPr>
          <w:rFonts w:hint="eastAsia"/>
          <w:color w:val="auto"/>
        </w:rPr>
        <w:t>（2）出现影响采购公正的违法、违规行为的；</w:t>
      </w:r>
    </w:p>
    <w:p>
      <w:pPr>
        <w:ind w:firstLine="424" w:firstLineChars="177"/>
        <w:rPr>
          <w:color w:val="auto"/>
        </w:rPr>
      </w:pPr>
      <w:r>
        <w:rPr>
          <w:rFonts w:hint="eastAsia"/>
          <w:color w:val="auto"/>
        </w:rPr>
        <w:t>（3）采用公告邀请方式的采购项目，在采购过程中符合要求的供应商不足2家的；</w:t>
      </w:r>
    </w:p>
    <w:p>
      <w:pPr>
        <w:ind w:firstLine="424" w:firstLineChars="177"/>
        <w:rPr>
          <w:color w:val="auto"/>
        </w:rPr>
      </w:pPr>
      <w:r>
        <w:rPr>
          <w:rFonts w:hint="eastAsia"/>
          <w:color w:val="auto"/>
        </w:rPr>
        <w:t>（4）采用直接邀请方式的采购项目，在采购过程中符合要求的供应商不足3家的。</w:t>
      </w:r>
    </w:p>
    <w:p>
      <w:pPr>
        <w:pStyle w:val="3"/>
        <w:keepNext w:val="0"/>
        <w:keepLines w:val="0"/>
        <w:spacing w:before="0" w:after="0" w:line="360" w:lineRule="auto"/>
        <w:ind w:firstLine="472" w:firstLineChars="196"/>
        <w:rPr>
          <w:rFonts w:ascii="仿宋" w:hAnsi="仿宋" w:eastAsia="仿宋"/>
          <w:color w:val="auto"/>
          <w:sz w:val="24"/>
          <w:szCs w:val="24"/>
        </w:rPr>
      </w:pPr>
      <w:r>
        <w:rPr>
          <w:rFonts w:hint="eastAsia" w:ascii="仿宋" w:hAnsi="仿宋" w:eastAsia="仿宋"/>
          <w:color w:val="auto"/>
          <w:sz w:val="24"/>
          <w:szCs w:val="24"/>
        </w:rPr>
        <w:t>3. 综合评分（适用于采用综合评分的项目）</w:t>
      </w:r>
    </w:p>
    <w:p>
      <w:pPr>
        <w:ind w:firstLine="480" w:firstLineChars="200"/>
        <w:rPr>
          <w:rFonts w:ascii="仿宋" w:hAnsi="仿宋"/>
          <w:color w:val="auto"/>
        </w:rPr>
      </w:pPr>
      <w:r>
        <w:rPr>
          <w:rFonts w:ascii="仿宋" w:hAnsi="仿宋"/>
          <w:color w:val="auto"/>
        </w:rPr>
        <w:t>3.1</w:t>
      </w:r>
      <w:r>
        <w:rPr>
          <w:rFonts w:hint="eastAsia" w:ascii="仿宋" w:hAnsi="仿宋"/>
          <w:color w:val="auto"/>
        </w:rPr>
        <w:t>本次综合评分的因素详见综合评分明细表。</w:t>
      </w:r>
    </w:p>
    <w:p>
      <w:pPr>
        <w:ind w:firstLine="480" w:firstLineChars="200"/>
        <w:rPr>
          <w:rFonts w:ascii="仿宋" w:hAnsi="仿宋"/>
          <w:color w:val="auto"/>
        </w:rPr>
      </w:pPr>
      <w:r>
        <w:rPr>
          <w:rFonts w:ascii="仿宋" w:hAnsi="仿宋"/>
          <w:color w:val="auto"/>
        </w:rPr>
        <w:t>3.2</w:t>
      </w:r>
      <w:r>
        <w:rPr>
          <w:rFonts w:hint="eastAsia" w:ascii="仿宋" w:hAnsi="仿宋"/>
          <w:color w:val="auto"/>
        </w:rPr>
        <w:t>评审小组成员应当独立对每个有效供应商的响应文件进行评价、打分。</w:t>
      </w:r>
    </w:p>
    <w:p>
      <w:pPr>
        <w:ind w:firstLine="480" w:firstLineChars="200"/>
        <w:rPr>
          <w:rFonts w:ascii="仿宋" w:hAnsi="仿宋"/>
          <w:color w:val="auto"/>
        </w:rPr>
      </w:pPr>
      <w:r>
        <w:rPr>
          <w:rFonts w:ascii="仿宋" w:hAnsi="仿宋"/>
          <w:color w:val="auto"/>
        </w:rPr>
        <w:t>3.3</w:t>
      </w:r>
      <w:r>
        <w:rPr>
          <w:rFonts w:hint="eastAsia" w:ascii="仿宋" w:hAnsi="仿宋"/>
          <w:color w:val="auto"/>
        </w:rPr>
        <w:t>综合评分明细表</w:t>
      </w:r>
    </w:p>
    <w:tbl>
      <w:tblPr>
        <w:tblStyle w:val="26"/>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7"/>
        <w:gridCol w:w="1417"/>
        <w:gridCol w:w="1134"/>
        <w:gridCol w:w="5017"/>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5" w:hRule="atLeast"/>
          <w:jc w:val="center"/>
        </w:trPr>
        <w:tc>
          <w:tcPr>
            <w:tcW w:w="737" w:type="dxa"/>
            <w:vAlign w:val="center"/>
          </w:tcPr>
          <w:p>
            <w:pPr>
              <w:jc w:val="center"/>
              <w:rPr>
                <w:rFonts w:ascii="仿宋" w:hAnsi="仿宋"/>
                <w:color w:val="auto"/>
              </w:rPr>
            </w:pPr>
            <w:bookmarkStart w:id="125" w:name="_Hlk30286281"/>
            <w:r>
              <w:rPr>
                <w:rFonts w:hint="eastAsia" w:ascii="仿宋" w:hAnsi="仿宋"/>
                <w:color w:val="auto"/>
              </w:rPr>
              <w:t>序号</w:t>
            </w:r>
          </w:p>
        </w:tc>
        <w:tc>
          <w:tcPr>
            <w:tcW w:w="1417" w:type="dxa"/>
            <w:vAlign w:val="center"/>
          </w:tcPr>
          <w:p>
            <w:pPr>
              <w:jc w:val="center"/>
              <w:rPr>
                <w:rFonts w:ascii="仿宋" w:hAnsi="仿宋"/>
                <w:color w:val="auto"/>
              </w:rPr>
            </w:pPr>
            <w:r>
              <w:rPr>
                <w:rFonts w:hint="eastAsia" w:ascii="仿宋" w:hAnsi="仿宋"/>
                <w:color w:val="auto"/>
              </w:rPr>
              <w:t>评分因素</w:t>
            </w:r>
          </w:p>
        </w:tc>
        <w:tc>
          <w:tcPr>
            <w:tcW w:w="1134" w:type="dxa"/>
            <w:vAlign w:val="center"/>
          </w:tcPr>
          <w:p>
            <w:pPr>
              <w:jc w:val="center"/>
              <w:rPr>
                <w:rFonts w:ascii="仿宋" w:hAnsi="仿宋"/>
                <w:color w:val="auto"/>
              </w:rPr>
            </w:pPr>
            <w:r>
              <w:rPr>
                <w:rFonts w:hint="eastAsia" w:ascii="仿宋" w:hAnsi="仿宋"/>
                <w:color w:val="auto"/>
              </w:rPr>
              <w:t>分值</w:t>
            </w:r>
          </w:p>
        </w:tc>
        <w:tc>
          <w:tcPr>
            <w:tcW w:w="5017" w:type="dxa"/>
            <w:vAlign w:val="center"/>
          </w:tcPr>
          <w:p>
            <w:pPr>
              <w:jc w:val="center"/>
              <w:rPr>
                <w:rFonts w:ascii="仿宋" w:hAnsi="仿宋"/>
                <w:color w:val="auto"/>
              </w:rPr>
            </w:pPr>
            <w:r>
              <w:rPr>
                <w:rFonts w:hint="eastAsia" w:ascii="仿宋" w:hAnsi="仿宋"/>
                <w:color w:val="auto"/>
              </w:rPr>
              <w:t>评分标准</w:t>
            </w:r>
          </w:p>
        </w:tc>
        <w:tc>
          <w:tcPr>
            <w:tcW w:w="763" w:type="dxa"/>
            <w:vAlign w:val="center"/>
          </w:tcPr>
          <w:p>
            <w:pPr>
              <w:jc w:val="center"/>
              <w:rPr>
                <w:rFonts w:ascii="仿宋" w:hAnsi="仿宋"/>
                <w:color w:val="auto"/>
              </w:rPr>
            </w:pPr>
            <w:r>
              <w:rPr>
                <w:rFonts w:hint="eastAsia" w:ascii="仿宋" w:hAnsi="仿宋"/>
                <w:color w:val="auto"/>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49" w:hRule="atLeast"/>
          <w:jc w:val="center"/>
        </w:trPr>
        <w:tc>
          <w:tcPr>
            <w:tcW w:w="737" w:type="dxa"/>
            <w:vAlign w:val="center"/>
          </w:tcPr>
          <w:p>
            <w:pPr>
              <w:jc w:val="center"/>
              <w:rPr>
                <w:rFonts w:ascii="仿宋" w:hAnsi="仿宋"/>
                <w:color w:val="auto"/>
              </w:rPr>
            </w:pPr>
            <w:r>
              <w:rPr>
                <w:rFonts w:ascii="仿宋" w:hAnsi="仿宋"/>
                <w:color w:val="auto"/>
              </w:rPr>
              <w:t>1</w:t>
            </w:r>
          </w:p>
        </w:tc>
        <w:tc>
          <w:tcPr>
            <w:tcW w:w="1417" w:type="dxa"/>
            <w:vAlign w:val="center"/>
          </w:tcPr>
          <w:p>
            <w:pPr>
              <w:jc w:val="center"/>
              <w:rPr>
                <w:rFonts w:ascii="仿宋" w:hAnsi="仿宋"/>
                <w:color w:val="auto"/>
              </w:rPr>
            </w:pPr>
            <w:r>
              <w:rPr>
                <w:rFonts w:hint="eastAsia" w:ascii="仿宋" w:hAnsi="仿宋"/>
                <w:color w:val="auto"/>
              </w:rPr>
              <w:t>报价</w:t>
            </w:r>
          </w:p>
        </w:tc>
        <w:tc>
          <w:tcPr>
            <w:tcW w:w="1134" w:type="dxa"/>
            <w:vAlign w:val="center"/>
          </w:tcPr>
          <w:p>
            <w:pPr>
              <w:jc w:val="center"/>
              <w:rPr>
                <w:rFonts w:ascii="仿宋" w:hAnsi="仿宋"/>
                <w:color w:val="auto"/>
              </w:rPr>
            </w:pPr>
            <w:r>
              <w:rPr>
                <w:rFonts w:hint="eastAsia" w:ascii="仿宋" w:hAnsi="仿宋"/>
                <w:color w:val="auto"/>
              </w:rPr>
              <w:t>40分</w:t>
            </w:r>
          </w:p>
        </w:tc>
        <w:tc>
          <w:tcPr>
            <w:tcW w:w="5017" w:type="dxa"/>
          </w:tcPr>
          <w:p>
            <w:pPr>
              <w:ind w:firstLine="240" w:firstLineChars="100"/>
              <w:jc w:val="left"/>
              <w:rPr>
                <w:rFonts w:ascii="仿宋" w:hAnsi="仿宋"/>
                <w:color w:val="auto"/>
              </w:rPr>
            </w:pPr>
            <w:r>
              <w:rPr>
                <w:rFonts w:hint="eastAsia" w:ascii="仿宋" w:hAnsi="仿宋"/>
                <w:color w:val="auto"/>
              </w:rPr>
              <w:t>满足询比文件要求且响应报价最低的供应商的报价为基准价，其价格为满分40分。</w:t>
            </w:r>
          </w:p>
          <w:p>
            <w:pPr>
              <w:ind w:firstLine="240" w:firstLineChars="100"/>
              <w:jc w:val="left"/>
              <w:rPr>
                <w:rFonts w:ascii="仿宋" w:hAnsi="仿宋"/>
                <w:color w:val="auto"/>
              </w:rPr>
            </w:pPr>
            <w:r>
              <w:rPr>
                <w:rFonts w:hint="eastAsia" w:ascii="仿宋" w:hAnsi="仿宋"/>
                <w:color w:val="auto"/>
              </w:rPr>
              <w:t>报价得分</w:t>
            </w:r>
            <w:r>
              <w:rPr>
                <w:rFonts w:ascii="仿宋" w:hAnsi="仿宋"/>
                <w:color w:val="auto"/>
              </w:rPr>
              <w:t>=</w:t>
            </w:r>
            <w:r>
              <w:rPr>
                <w:rFonts w:hint="eastAsia" w:ascii="仿宋" w:hAnsi="仿宋"/>
                <w:color w:val="auto"/>
              </w:rPr>
              <w:t>（基准价</w:t>
            </w:r>
            <w:r>
              <w:rPr>
                <w:rFonts w:ascii="仿宋" w:hAnsi="仿宋"/>
                <w:color w:val="auto"/>
              </w:rPr>
              <w:t>/</w:t>
            </w:r>
            <w:r>
              <w:rPr>
                <w:rFonts w:hint="eastAsia" w:ascii="仿宋" w:hAnsi="仿宋"/>
                <w:color w:val="auto"/>
              </w:rPr>
              <w:t>响应报价）×40</w:t>
            </w:r>
          </w:p>
        </w:tc>
        <w:tc>
          <w:tcPr>
            <w:tcW w:w="763" w:type="dxa"/>
            <w:vAlign w:val="center"/>
          </w:tcPr>
          <w:p>
            <w:pPr>
              <w:ind w:firstLine="422" w:firstLineChars="176"/>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1" w:hRule="atLeast"/>
          <w:jc w:val="center"/>
        </w:trPr>
        <w:tc>
          <w:tcPr>
            <w:tcW w:w="737" w:type="dxa"/>
            <w:vAlign w:val="center"/>
          </w:tcPr>
          <w:p>
            <w:pPr>
              <w:jc w:val="center"/>
              <w:rPr>
                <w:rFonts w:ascii="仿宋" w:hAnsi="仿宋"/>
                <w:color w:val="auto"/>
              </w:rPr>
            </w:pPr>
            <w:r>
              <w:rPr>
                <w:rFonts w:ascii="仿宋" w:hAnsi="仿宋"/>
                <w:color w:val="auto"/>
              </w:rPr>
              <w:t>2</w:t>
            </w:r>
          </w:p>
        </w:tc>
        <w:tc>
          <w:tcPr>
            <w:tcW w:w="1417" w:type="dxa"/>
            <w:vAlign w:val="center"/>
          </w:tcPr>
          <w:p>
            <w:pPr>
              <w:jc w:val="center"/>
              <w:rPr>
                <w:rFonts w:ascii="仿宋" w:hAnsi="仿宋"/>
                <w:color w:val="auto"/>
              </w:rPr>
            </w:pPr>
            <w:r>
              <w:rPr>
                <w:rFonts w:hint="eastAsia" w:ascii="仿宋" w:hAnsi="仿宋"/>
                <w:color w:val="auto"/>
              </w:rPr>
              <w:t>类似业绩</w:t>
            </w:r>
          </w:p>
        </w:tc>
        <w:tc>
          <w:tcPr>
            <w:tcW w:w="1134" w:type="dxa"/>
            <w:vAlign w:val="center"/>
          </w:tcPr>
          <w:p>
            <w:pPr>
              <w:jc w:val="center"/>
              <w:rPr>
                <w:rFonts w:ascii="仿宋" w:hAnsi="仿宋"/>
                <w:color w:val="auto"/>
              </w:rPr>
            </w:pPr>
            <w:r>
              <w:rPr>
                <w:rFonts w:hint="eastAsia" w:ascii="仿宋" w:hAnsi="仿宋"/>
                <w:color w:val="auto"/>
              </w:rPr>
              <w:t>6分</w:t>
            </w:r>
          </w:p>
        </w:tc>
        <w:tc>
          <w:tcPr>
            <w:tcW w:w="5017" w:type="dxa"/>
            <w:vAlign w:val="center"/>
          </w:tcPr>
          <w:p>
            <w:pPr>
              <w:ind w:firstLine="240" w:firstLineChars="100"/>
              <w:jc w:val="left"/>
              <w:rPr>
                <w:rFonts w:ascii="仿宋" w:hAnsi="仿宋"/>
                <w:color w:val="auto"/>
              </w:rPr>
            </w:pPr>
            <w:r>
              <w:rPr>
                <w:rFonts w:hint="eastAsia" w:ascii="仿宋" w:hAnsi="仿宋"/>
                <w:color w:val="auto"/>
              </w:rPr>
              <w:t>供应商</w:t>
            </w:r>
            <w:r>
              <w:rPr>
                <w:rFonts w:ascii="仿宋" w:hAnsi="仿宋"/>
                <w:color w:val="auto"/>
              </w:rPr>
              <w:t>2020</w:t>
            </w:r>
            <w:r>
              <w:rPr>
                <w:rFonts w:hint="eastAsia" w:ascii="仿宋" w:hAnsi="仿宋"/>
                <w:color w:val="auto"/>
              </w:rPr>
              <w:t>年</w:t>
            </w:r>
            <w:r>
              <w:rPr>
                <w:rFonts w:ascii="仿宋" w:hAnsi="仿宋"/>
                <w:color w:val="auto"/>
              </w:rPr>
              <w:t>1</w:t>
            </w:r>
            <w:r>
              <w:rPr>
                <w:rFonts w:hint="eastAsia" w:ascii="仿宋" w:hAnsi="仿宋"/>
                <w:color w:val="auto"/>
              </w:rPr>
              <w:t>月</w:t>
            </w:r>
            <w:r>
              <w:rPr>
                <w:rFonts w:ascii="仿宋" w:hAnsi="仿宋"/>
                <w:color w:val="auto"/>
              </w:rPr>
              <w:t>1</w:t>
            </w:r>
            <w:r>
              <w:rPr>
                <w:rFonts w:hint="eastAsia" w:ascii="仿宋" w:hAnsi="仿宋"/>
                <w:color w:val="auto"/>
              </w:rPr>
              <w:t>日至今具有已完成类似项目业绩，每提供一个得</w:t>
            </w:r>
            <w:r>
              <w:rPr>
                <w:rFonts w:ascii="仿宋" w:hAnsi="仿宋"/>
                <w:color w:val="auto"/>
              </w:rPr>
              <w:t>2</w:t>
            </w:r>
            <w:r>
              <w:rPr>
                <w:rFonts w:hint="eastAsia" w:ascii="仿宋" w:hAnsi="仿宋"/>
                <w:color w:val="auto"/>
              </w:rPr>
              <w:t>分，最高6分，未提供不得分。（类似业绩是指：液冷安装架研制或供货业绩）</w:t>
            </w:r>
          </w:p>
          <w:p>
            <w:pPr>
              <w:ind w:firstLine="241" w:firstLineChars="100"/>
              <w:jc w:val="left"/>
              <w:rPr>
                <w:rFonts w:ascii="仿宋" w:hAnsi="仿宋"/>
                <w:b/>
                <w:bCs/>
                <w:color w:val="auto"/>
              </w:rPr>
            </w:pPr>
            <w:r>
              <w:rPr>
                <w:rFonts w:hint="eastAsia" w:ascii="仿宋" w:hAnsi="仿宋"/>
                <w:b/>
                <w:bCs/>
                <w:color w:val="auto"/>
              </w:rPr>
              <w:t>注：1、提供合同复印件及验收证明材料；</w:t>
            </w:r>
          </w:p>
          <w:p>
            <w:pPr>
              <w:ind w:firstLine="241" w:firstLineChars="100"/>
              <w:jc w:val="left"/>
              <w:rPr>
                <w:rFonts w:ascii="仿宋" w:hAnsi="仿宋"/>
                <w:color w:val="auto"/>
              </w:rPr>
            </w:pPr>
            <w:r>
              <w:rPr>
                <w:rFonts w:hint="eastAsia" w:ascii="仿宋" w:hAnsi="仿宋"/>
                <w:b/>
                <w:bCs/>
                <w:color w:val="auto"/>
              </w:rPr>
              <w:t>2、已验收时间为准。</w:t>
            </w:r>
          </w:p>
        </w:tc>
        <w:tc>
          <w:tcPr>
            <w:tcW w:w="763" w:type="dxa"/>
            <w:vAlign w:val="center"/>
          </w:tcPr>
          <w:p>
            <w:pPr>
              <w:ind w:firstLine="422" w:firstLineChars="176"/>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1" w:hRule="atLeast"/>
          <w:jc w:val="center"/>
        </w:trPr>
        <w:tc>
          <w:tcPr>
            <w:tcW w:w="737" w:type="dxa"/>
            <w:vAlign w:val="center"/>
          </w:tcPr>
          <w:p>
            <w:pPr>
              <w:jc w:val="center"/>
              <w:rPr>
                <w:rFonts w:ascii="仿宋" w:hAnsi="仿宋"/>
                <w:color w:val="auto"/>
              </w:rPr>
            </w:pPr>
            <w:r>
              <w:rPr>
                <w:rFonts w:hint="eastAsia" w:ascii="仿宋" w:hAnsi="仿宋"/>
                <w:color w:val="auto"/>
              </w:rPr>
              <w:t>3</w:t>
            </w:r>
          </w:p>
        </w:tc>
        <w:tc>
          <w:tcPr>
            <w:tcW w:w="1417" w:type="dxa"/>
            <w:vAlign w:val="center"/>
          </w:tcPr>
          <w:p>
            <w:pPr>
              <w:jc w:val="center"/>
              <w:rPr>
                <w:rFonts w:ascii="仿宋" w:hAnsi="仿宋"/>
                <w:color w:val="auto"/>
              </w:rPr>
            </w:pPr>
            <w:r>
              <w:rPr>
                <w:rFonts w:hint="eastAsia" w:ascii="仿宋" w:hAnsi="仿宋"/>
                <w:color w:val="auto"/>
              </w:rPr>
              <w:t>实施方案</w:t>
            </w:r>
          </w:p>
        </w:tc>
        <w:tc>
          <w:tcPr>
            <w:tcW w:w="1134" w:type="dxa"/>
            <w:vAlign w:val="center"/>
          </w:tcPr>
          <w:p>
            <w:pPr>
              <w:jc w:val="center"/>
              <w:rPr>
                <w:rFonts w:ascii="仿宋" w:hAnsi="仿宋"/>
                <w:color w:val="auto"/>
              </w:rPr>
            </w:pPr>
            <w:r>
              <w:rPr>
                <w:rFonts w:hint="eastAsia" w:ascii="仿宋" w:hAnsi="仿宋"/>
                <w:color w:val="auto"/>
              </w:rPr>
              <w:t>32分</w:t>
            </w:r>
          </w:p>
        </w:tc>
        <w:tc>
          <w:tcPr>
            <w:tcW w:w="5017" w:type="dxa"/>
            <w:vAlign w:val="center"/>
          </w:tcPr>
          <w:p>
            <w:pPr>
              <w:ind w:firstLine="240" w:firstLineChars="100"/>
              <w:jc w:val="left"/>
              <w:rPr>
                <w:rFonts w:ascii="仿宋" w:hAnsi="仿宋"/>
                <w:color w:val="auto"/>
              </w:rPr>
            </w:pPr>
            <w:r>
              <w:rPr>
                <w:rFonts w:hint="eastAsia" w:ascii="仿宋" w:hAnsi="仿宋"/>
                <w:color w:val="auto"/>
              </w:rPr>
              <w:t>1.提供针对本项目的工艺方案，包括但不限于：</w:t>
            </w:r>
          </w:p>
          <w:p>
            <w:pPr>
              <w:ind w:firstLine="240" w:firstLineChars="100"/>
              <w:jc w:val="left"/>
              <w:rPr>
                <w:rFonts w:ascii="仿宋" w:hAnsi="仿宋"/>
                <w:color w:val="auto"/>
              </w:rPr>
            </w:pPr>
            <w:r>
              <w:rPr>
                <w:rFonts w:hint="eastAsia" w:ascii="仿宋" w:hAnsi="仿宋"/>
                <w:color w:val="auto"/>
              </w:rPr>
              <w:t>①总体加工方案；</w:t>
            </w:r>
          </w:p>
          <w:p>
            <w:pPr>
              <w:ind w:firstLine="240" w:firstLineChars="100"/>
              <w:jc w:val="left"/>
              <w:rPr>
                <w:rFonts w:ascii="仿宋" w:hAnsi="仿宋"/>
                <w:color w:val="auto"/>
              </w:rPr>
            </w:pPr>
            <w:r>
              <w:rPr>
                <w:rFonts w:hint="eastAsia" w:ascii="仿宋" w:hAnsi="仿宋"/>
                <w:color w:val="auto"/>
              </w:rPr>
              <w:t>②喷漆工艺方案；</w:t>
            </w:r>
          </w:p>
          <w:p>
            <w:pPr>
              <w:ind w:firstLine="240" w:firstLineChars="100"/>
              <w:jc w:val="left"/>
              <w:rPr>
                <w:rFonts w:ascii="仿宋" w:hAnsi="仿宋"/>
                <w:color w:val="auto"/>
              </w:rPr>
            </w:pPr>
            <w:r>
              <w:rPr>
                <w:rFonts w:hint="eastAsia" w:ascii="仿宋" w:hAnsi="仿宋"/>
                <w:color w:val="auto"/>
              </w:rPr>
              <w:t>③探伤工艺方案；</w:t>
            </w:r>
          </w:p>
          <w:p>
            <w:pPr>
              <w:ind w:firstLine="240" w:firstLineChars="100"/>
              <w:jc w:val="left"/>
              <w:rPr>
                <w:rFonts w:ascii="仿宋" w:hAnsi="仿宋"/>
                <w:color w:val="auto"/>
              </w:rPr>
            </w:pPr>
            <w:r>
              <w:rPr>
                <w:rFonts w:hint="eastAsia" w:ascii="仿宋" w:hAnsi="仿宋"/>
                <w:color w:val="auto"/>
              </w:rPr>
              <w:t>④环境适应性装配方案；</w:t>
            </w:r>
          </w:p>
          <w:p>
            <w:pPr>
              <w:ind w:firstLine="240" w:firstLineChars="100"/>
              <w:jc w:val="left"/>
              <w:rPr>
                <w:rFonts w:ascii="仿宋" w:hAnsi="仿宋"/>
                <w:color w:val="auto"/>
              </w:rPr>
            </w:pPr>
            <w:r>
              <w:rPr>
                <w:rFonts w:hint="eastAsia" w:ascii="仿宋" w:hAnsi="仿宋"/>
                <w:color w:val="auto"/>
              </w:rPr>
              <w:t>以上方案内容完整，阐述清晰且符合项目需求的得16分，每缺少一项或每有一项阐述内容错误或内容简单不符合项目需求或内容与本项目无关的扣4分，扣完为止。</w:t>
            </w:r>
          </w:p>
          <w:p>
            <w:pPr>
              <w:ind w:firstLine="240" w:firstLineChars="100"/>
              <w:jc w:val="left"/>
              <w:rPr>
                <w:rFonts w:eastAsia="宋体"/>
                <w:color w:val="auto"/>
                <w:sz w:val="22"/>
              </w:rPr>
            </w:pPr>
            <w:r>
              <w:rPr>
                <w:rFonts w:hint="eastAsia" w:ascii="仿宋" w:hAnsi="仿宋"/>
                <w:color w:val="auto"/>
              </w:rPr>
              <w:t>2.提供针对本项目的安装架实施方案，包括但不限于：</w:t>
            </w:r>
          </w:p>
          <w:p>
            <w:pPr>
              <w:ind w:firstLine="240" w:firstLineChars="100"/>
              <w:jc w:val="left"/>
              <w:rPr>
                <w:rFonts w:ascii="仿宋" w:hAnsi="仿宋"/>
                <w:color w:val="auto"/>
              </w:rPr>
            </w:pPr>
            <w:r>
              <w:rPr>
                <w:rFonts w:hint="eastAsia" w:ascii="仿宋" w:hAnsi="仿宋"/>
                <w:color w:val="auto"/>
              </w:rPr>
              <w:t>①安装架的静力学仿真结果；</w:t>
            </w:r>
          </w:p>
          <w:p>
            <w:pPr>
              <w:ind w:firstLine="240" w:firstLineChars="100"/>
              <w:jc w:val="left"/>
              <w:rPr>
                <w:rFonts w:ascii="仿宋" w:hAnsi="仿宋"/>
                <w:color w:val="auto"/>
              </w:rPr>
            </w:pPr>
            <w:r>
              <w:rPr>
                <w:rFonts w:hint="eastAsia" w:ascii="仿宋" w:hAnsi="仿宋"/>
                <w:color w:val="auto"/>
              </w:rPr>
              <w:t>②安装架的动力学仿真结果；</w:t>
            </w:r>
          </w:p>
          <w:p>
            <w:pPr>
              <w:ind w:firstLine="240" w:firstLineChars="100"/>
              <w:jc w:val="left"/>
              <w:rPr>
                <w:rFonts w:ascii="仿宋" w:hAnsi="仿宋"/>
                <w:color w:val="auto"/>
              </w:rPr>
            </w:pPr>
            <w:r>
              <w:rPr>
                <w:rFonts w:hint="eastAsia" w:ascii="仿宋" w:hAnsi="仿宋"/>
                <w:color w:val="auto"/>
              </w:rPr>
              <w:t>③安全保障方案（至少包含临时支撑结构设计或吊装结构设计）；</w:t>
            </w:r>
          </w:p>
          <w:p>
            <w:pPr>
              <w:ind w:firstLine="240" w:firstLineChars="100"/>
              <w:jc w:val="left"/>
              <w:rPr>
                <w:rFonts w:ascii="仿宋" w:hAnsi="仿宋"/>
                <w:color w:val="auto"/>
              </w:rPr>
            </w:pPr>
            <w:r>
              <w:rPr>
                <w:rFonts w:hint="eastAsia" w:ascii="仿宋" w:hAnsi="仿宋"/>
                <w:color w:val="auto"/>
              </w:rPr>
              <w:t>④可靠性保障方案；</w:t>
            </w:r>
          </w:p>
          <w:p>
            <w:pPr>
              <w:ind w:firstLine="240" w:firstLineChars="100"/>
              <w:jc w:val="left"/>
              <w:rPr>
                <w:rFonts w:ascii="仿宋" w:hAnsi="仿宋"/>
                <w:color w:val="auto"/>
              </w:rPr>
            </w:pPr>
            <w:r>
              <w:rPr>
                <w:rFonts w:hint="eastAsia" w:ascii="仿宋" w:hAnsi="仿宋"/>
                <w:color w:val="auto"/>
              </w:rPr>
              <w:t>以上方案内容完整，阐述清晰且符合项目需求的得16分，每缺少一项或每有一项阐述内容错误或内容简单不符合项目需求或内容与本项目无关的扣4分，扣完为止。</w:t>
            </w:r>
          </w:p>
        </w:tc>
        <w:tc>
          <w:tcPr>
            <w:tcW w:w="763" w:type="dxa"/>
            <w:vAlign w:val="center"/>
          </w:tcPr>
          <w:p>
            <w:pPr>
              <w:ind w:firstLine="422" w:firstLineChars="176"/>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1" w:hRule="atLeast"/>
          <w:jc w:val="center"/>
        </w:trPr>
        <w:tc>
          <w:tcPr>
            <w:tcW w:w="737" w:type="dxa"/>
            <w:vAlign w:val="center"/>
          </w:tcPr>
          <w:p>
            <w:pPr>
              <w:jc w:val="center"/>
              <w:rPr>
                <w:rFonts w:ascii="仿宋" w:hAnsi="仿宋"/>
                <w:color w:val="auto"/>
              </w:rPr>
            </w:pPr>
            <w:r>
              <w:rPr>
                <w:rFonts w:hint="eastAsia" w:ascii="仿宋" w:hAnsi="仿宋"/>
                <w:color w:val="auto"/>
              </w:rPr>
              <w:t>4</w:t>
            </w:r>
          </w:p>
        </w:tc>
        <w:tc>
          <w:tcPr>
            <w:tcW w:w="1417" w:type="dxa"/>
            <w:vAlign w:val="center"/>
          </w:tcPr>
          <w:p>
            <w:pPr>
              <w:jc w:val="center"/>
              <w:rPr>
                <w:rFonts w:ascii="仿宋" w:hAnsi="仿宋"/>
                <w:color w:val="auto"/>
              </w:rPr>
            </w:pPr>
            <w:r>
              <w:rPr>
                <w:rFonts w:hint="eastAsia" w:ascii="仿宋" w:hAnsi="仿宋"/>
                <w:color w:val="auto"/>
              </w:rPr>
              <w:t>交付期</w:t>
            </w:r>
          </w:p>
        </w:tc>
        <w:tc>
          <w:tcPr>
            <w:tcW w:w="1134" w:type="dxa"/>
            <w:vAlign w:val="center"/>
          </w:tcPr>
          <w:p>
            <w:pPr>
              <w:jc w:val="center"/>
              <w:rPr>
                <w:rFonts w:ascii="仿宋" w:hAnsi="仿宋"/>
                <w:color w:val="auto"/>
              </w:rPr>
            </w:pPr>
            <w:r>
              <w:rPr>
                <w:rFonts w:hint="eastAsia" w:ascii="仿宋" w:hAnsi="仿宋"/>
                <w:color w:val="auto"/>
              </w:rPr>
              <w:t>6分</w:t>
            </w:r>
          </w:p>
        </w:tc>
        <w:tc>
          <w:tcPr>
            <w:tcW w:w="5017" w:type="dxa"/>
            <w:vAlign w:val="center"/>
          </w:tcPr>
          <w:p>
            <w:pPr>
              <w:ind w:firstLine="240" w:firstLineChars="100"/>
              <w:jc w:val="left"/>
              <w:rPr>
                <w:rFonts w:ascii="仿宋" w:hAnsi="仿宋"/>
                <w:color w:val="auto"/>
              </w:rPr>
            </w:pPr>
            <w:r>
              <w:rPr>
                <w:rFonts w:hint="eastAsia" w:ascii="仿宋" w:hAnsi="仿宋"/>
                <w:color w:val="auto"/>
              </w:rPr>
              <w:t>交付期在满足</w:t>
            </w:r>
            <w:r>
              <w:rPr>
                <w:rFonts w:hint="eastAsia"/>
                <w:color w:val="auto"/>
              </w:rPr>
              <w:t>合同签订生效后1.5个月内交付的前提下，每提前5天交付得2分，满分6分。</w:t>
            </w:r>
          </w:p>
        </w:tc>
        <w:tc>
          <w:tcPr>
            <w:tcW w:w="763" w:type="dxa"/>
            <w:vAlign w:val="center"/>
          </w:tcPr>
          <w:p>
            <w:pPr>
              <w:ind w:firstLine="422" w:firstLineChars="176"/>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1" w:hRule="atLeast"/>
          <w:jc w:val="center"/>
        </w:trPr>
        <w:tc>
          <w:tcPr>
            <w:tcW w:w="737" w:type="dxa"/>
            <w:vAlign w:val="center"/>
          </w:tcPr>
          <w:p>
            <w:pPr>
              <w:jc w:val="center"/>
              <w:rPr>
                <w:rFonts w:ascii="仿宋" w:hAnsi="仿宋"/>
                <w:color w:val="auto"/>
              </w:rPr>
            </w:pPr>
            <w:r>
              <w:rPr>
                <w:rFonts w:hint="eastAsia" w:ascii="仿宋" w:hAnsi="仿宋"/>
                <w:color w:val="auto"/>
              </w:rPr>
              <w:t>5</w:t>
            </w:r>
          </w:p>
        </w:tc>
        <w:tc>
          <w:tcPr>
            <w:tcW w:w="1417" w:type="dxa"/>
            <w:vAlign w:val="center"/>
          </w:tcPr>
          <w:p>
            <w:pPr>
              <w:jc w:val="center"/>
              <w:rPr>
                <w:rFonts w:ascii="仿宋" w:hAnsi="仿宋"/>
                <w:color w:val="auto"/>
              </w:rPr>
            </w:pPr>
            <w:r>
              <w:rPr>
                <w:rFonts w:hint="eastAsia" w:ascii="仿宋" w:hAnsi="仿宋"/>
                <w:color w:val="auto"/>
              </w:rPr>
              <w:t>售后服务</w:t>
            </w:r>
          </w:p>
        </w:tc>
        <w:tc>
          <w:tcPr>
            <w:tcW w:w="1134" w:type="dxa"/>
            <w:vAlign w:val="center"/>
          </w:tcPr>
          <w:p>
            <w:pPr>
              <w:jc w:val="center"/>
              <w:rPr>
                <w:rFonts w:ascii="仿宋" w:hAnsi="仿宋"/>
                <w:color w:val="auto"/>
              </w:rPr>
            </w:pPr>
            <w:r>
              <w:rPr>
                <w:rFonts w:hint="eastAsia" w:ascii="仿宋" w:hAnsi="仿宋"/>
                <w:color w:val="auto"/>
              </w:rPr>
              <w:t>13分</w:t>
            </w:r>
          </w:p>
        </w:tc>
        <w:tc>
          <w:tcPr>
            <w:tcW w:w="5017" w:type="dxa"/>
            <w:vAlign w:val="center"/>
          </w:tcPr>
          <w:p>
            <w:pPr>
              <w:ind w:firstLine="240" w:firstLineChars="100"/>
              <w:jc w:val="left"/>
              <w:rPr>
                <w:rFonts w:ascii="仿宋" w:hAnsi="仿宋"/>
                <w:color w:val="auto"/>
              </w:rPr>
            </w:pPr>
            <w:r>
              <w:rPr>
                <w:rFonts w:hint="eastAsia" w:ascii="仿宋" w:hAnsi="仿宋"/>
                <w:color w:val="auto"/>
              </w:rPr>
              <w:t>1.在满足质保期内，乙方需在24小时内响应，若需到场解决，需在48小时内响应到场（不可抗力因素除外）的前提下，达到在12小时内响应，若需到场解决，需在24小时内响应到场（不可抗力因素除外）的得4分，满分4分。</w:t>
            </w:r>
          </w:p>
          <w:p>
            <w:pPr>
              <w:ind w:firstLine="240" w:firstLineChars="100"/>
              <w:jc w:val="left"/>
              <w:rPr>
                <w:rFonts w:ascii="仿宋" w:hAnsi="仿宋"/>
                <w:color w:val="auto"/>
              </w:rPr>
            </w:pPr>
            <w:r>
              <w:rPr>
                <w:rFonts w:hint="eastAsia" w:ascii="仿宋" w:hAnsi="仿宋"/>
                <w:color w:val="auto"/>
              </w:rPr>
              <w:t>2.提供针对于本项目的售后服务方案，包括但不限于：①售后服务整体方案、②售后服务人员配置、③响应时间等内容。</w:t>
            </w:r>
          </w:p>
          <w:p>
            <w:pPr>
              <w:ind w:firstLine="240" w:firstLineChars="100"/>
              <w:jc w:val="left"/>
              <w:rPr>
                <w:rFonts w:ascii="仿宋" w:hAnsi="仿宋"/>
                <w:color w:val="auto"/>
              </w:rPr>
            </w:pPr>
            <w:r>
              <w:rPr>
                <w:rFonts w:hint="eastAsia" w:ascii="仿宋" w:hAnsi="仿宋"/>
                <w:color w:val="auto"/>
              </w:rPr>
              <w:t>以上方案内容完整，阐述清晰且符合项目需求的得9分，每缺少一项或每有一项阐述内容错误或内容简单不符合项目需求或内容与本项目无关的扣3分，扣完为止。</w:t>
            </w:r>
          </w:p>
        </w:tc>
        <w:tc>
          <w:tcPr>
            <w:tcW w:w="763" w:type="dxa"/>
            <w:vAlign w:val="center"/>
          </w:tcPr>
          <w:p>
            <w:pPr>
              <w:ind w:firstLine="422" w:firstLineChars="176"/>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1" w:hRule="atLeast"/>
          <w:jc w:val="center"/>
        </w:trPr>
        <w:tc>
          <w:tcPr>
            <w:tcW w:w="737" w:type="dxa"/>
            <w:vAlign w:val="center"/>
          </w:tcPr>
          <w:p>
            <w:pPr>
              <w:jc w:val="center"/>
              <w:rPr>
                <w:rFonts w:ascii="仿宋" w:hAnsi="仿宋"/>
                <w:color w:val="auto"/>
              </w:rPr>
            </w:pPr>
            <w:r>
              <w:rPr>
                <w:rFonts w:hint="eastAsia" w:ascii="仿宋" w:hAnsi="仿宋"/>
                <w:color w:val="auto"/>
              </w:rPr>
              <w:t>6</w:t>
            </w:r>
          </w:p>
        </w:tc>
        <w:tc>
          <w:tcPr>
            <w:tcW w:w="1417" w:type="dxa"/>
            <w:vAlign w:val="center"/>
          </w:tcPr>
          <w:p>
            <w:pPr>
              <w:jc w:val="center"/>
              <w:rPr>
                <w:rFonts w:ascii="仿宋" w:hAnsi="仿宋"/>
                <w:color w:val="auto"/>
              </w:rPr>
            </w:pPr>
            <w:r>
              <w:rPr>
                <w:rFonts w:hint="eastAsia" w:ascii="仿宋" w:hAnsi="仿宋"/>
                <w:color w:val="auto"/>
              </w:rPr>
              <w:t>质保期</w:t>
            </w:r>
          </w:p>
        </w:tc>
        <w:tc>
          <w:tcPr>
            <w:tcW w:w="1134" w:type="dxa"/>
            <w:vAlign w:val="center"/>
          </w:tcPr>
          <w:p>
            <w:pPr>
              <w:jc w:val="center"/>
              <w:rPr>
                <w:rFonts w:ascii="仿宋" w:hAnsi="仿宋"/>
                <w:color w:val="auto"/>
              </w:rPr>
            </w:pPr>
            <w:r>
              <w:rPr>
                <w:rFonts w:hint="eastAsia" w:ascii="仿宋" w:hAnsi="仿宋"/>
                <w:color w:val="auto"/>
              </w:rPr>
              <w:t>3分</w:t>
            </w:r>
          </w:p>
        </w:tc>
        <w:tc>
          <w:tcPr>
            <w:tcW w:w="5017" w:type="dxa"/>
            <w:vAlign w:val="center"/>
          </w:tcPr>
          <w:p>
            <w:pPr>
              <w:ind w:firstLine="240" w:firstLineChars="100"/>
              <w:jc w:val="left"/>
              <w:rPr>
                <w:rFonts w:ascii="仿宋" w:hAnsi="仿宋"/>
                <w:color w:val="auto"/>
              </w:rPr>
            </w:pPr>
            <w:r>
              <w:rPr>
                <w:rFonts w:hint="eastAsia" w:ascii="仿宋" w:hAnsi="仿宋"/>
                <w:color w:val="auto"/>
              </w:rPr>
              <w:t>质保期在满足1年的前提下，每增加1年质保得1.5分，满分3分。</w:t>
            </w:r>
          </w:p>
          <w:p>
            <w:pPr>
              <w:ind w:firstLine="241" w:firstLineChars="100"/>
              <w:jc w:val="left"/>
              <w:rPr>
                <w:rFonts w:ascii="仿宋" w:hAnsi="仿宋"/>
                <w:color w:val="auto"/>
              </w:rPr>
            </w:pPr>
            <w:r>
              <w:rPr>
                <w:rFonts w:hint="eastAsia" w:ascii="仿宋" w:hAnsi="仿宋"/>
                <w:b/>
                <w:bCs/>
                <w:color w:val="auto"/>
              </w:rPr>
              <w:t>注：上述内容需在“技术、服务、商务要求及采购合同条款应答表”中体现</w:t>
            </w:r>
            <w:r>
              <w:rPr>
                <w:rFonts w:hint="eastAsia"/>
                <w:b/>
                <w:bCs/>
                <w:color w:val="auto"/>
              </w:rPr>
              <w:t>，</w:t>
            </w:r>
            <w:r>
              <w:rPr>
                <w:rFonts w:hint="eastAsia" w:ascii="仿宋" w:hAnsi="仿宋"/>
                <w:b/>
                <w:bCs/>
                <w:color w:val="auto"/>
              </w:rPr>
              <w:t>未体现不得分。</w:t>
            </w:r>
          </w:p>
        </w:tc>
        <w:tc>
          <w:tcPr>
            <w:tcW w:w="763" w:type="dxa"/>
            <w:vAlign w:val="center"/>
          </w:tcPr>
          <w:p>
            <w:pPr>
              <w:ind w:firstLine="422" w:firstLineChars="176"/>
              <w:jc w:val="center"/>
              <w:rPr>
                <w:rFonts w:ascii="仿宋" w:hAnsi="仿宋"/>
                <w:color w:val="auto"/>
              </w:rPr>
            </w:pPr>
          </w:p>
        </w:tc>
      </w:tr>
      <w:bookmarkEnd w:id="125"/>
    </w:tbl>
    <w:p>
      <w:pPr>
        <w:rPr>
          <w:rFonts w:ascii="仿宋" w:hAnsi="仿宋"/>
          <w:b/>
          <w:color w:val="auto"/>
        </w:rPr>
      </w:pPr>
      <w:r>
        <w:rPr>
          <w:rFonts w:hint="eastAsia" w:ascii="仿宋" w:hAnsi="仿宋"/>
          <w:b/>
          <w:color w:val="auto"/>
        </w:rPr>
        <w:t>注：供应商最后得分=∑各评审小组成员评分/评审小组人员数量，评分的取值按四舍五入法，保留小数点后两位。</w:t>
      </w:r>
    </w:p>
    <w:p>
      <w:pPr>
        <w:pStyle w:val="3"/>
        <w:keepNext w:val="0"/>
        <w:keepLines w:val="0"/>
        <w:spacing w:before="0" w:after="0" w:line="360" w:lineRule="auto"/>
        <w:ind w:firstLine="472" w:firstLineChars="196"/>
        <w:rPr>
          <w:rFonts w:ascii="仿宋" w:hAnsi="仿宋" w:eastAsia="仿宋"/>
          <w:color w:val="auto"/>
          <w:sz w:val="24"/>
          <w:szCs w:val="24"/>
        </w:rPr>
      </w:pPr>
      <w:r>
        <w:rPr>
          <w:rFonts w:hint="eastAsia" w:ascii="仿宋" w:hAnsi="仿宋" w:eastAsia="仿宋"/>
          <w:color w:val="auto"/>
          <w:sz w:val="24"/>
          <w:szCs w:val="24"/>
        </w:rPr>
        <w:t>4．评审纪律及注意事项</w:t>
      </w:r>
    </w:p>
    <w:p>
      <w:pPr>
        <w:tabs>
          <w:tab w:val="left" w:pos="851"/>
        </w:tabs>
        <w:ind w:firstLine="480" w:firstLineChars="200"/>
        <w:rPr>
          <w:rFonts w:ascii="仿宋" w:hAnsi="仿宋"/>
          <w:color w:val="auto"/>
        </w:rPr>
      </w:pPr>
      <w:r>
        <w:rPr>
          <w:rFonts w:hint="eastAsia" w:ascii="仿宋" w:hAnsi="仿宋"/>
          <w:color w:val="auto"/>
        </w:rPr>
        <w:t>4.1评审小组内部讨论的情况和意见必须保密，任何人不得以任何形式透露给供应商或与供应商有关的单位或个人。</w:t>
      </w:r>
    </w:p>
    <w:p>
      <w:pPr>
        <w:tabs>
          <w:tab w:val="left" w:pos="851"/>
        </w:tabs>
        <w:ind w:firstLine="480" w:firstLineChars="200"/>
        <w:rPr>
          <w:rFonts w:ascii="仿宋" w:hAnsi="仿宋"/>
          <w:color w:val="auto"/>
        </w:rPr>
      </w:pPr>
      <w:r>
        <w:rPr>
          <w:rFonts w:hint="eastAsia" w:ascii="仿宋" w:hAnsi="仿宋"/>
          <w:color w:val="auto"/>
        </w:rPr>
        <w:t>4.2在评审过程中，供应商不得以任何形式对评审小组成员进行旨在影响评审结果的私下接触，否则将取消其响应资格。</w:t>
      </w:r>
    </w:p>
    <w:p>
      <w:pPr>
        <w:tabs>
          <w:tab w:val="left" w:pos="851"/>
        </w:tabs>
        <w:ind w:firstLine="480" w:firstLineChars="200"/>
        <w:rPr>
          <w:rFonts w:ascii="仿宋" w:hAnsi="仿宋"/>
          <w:color w:val="auto"/>
        </w:rPr>
      </w:pPr>
      <w:r>
        <w:rPr>
          <w:rFonts w:hint="eastAsia" w:ascii="仿宋" w:hAnsi="仿宋"/>
          <w:color w:val="auto"/>
        </w:rPr>
        <w:t>4.3对各供应商的商业秘密，评审小组成员应予以保密，不得泄露给其他供应商。</w:t>
      </w:r>
    </w:p>
    <w:p>
      <w:pPr>
        <w:tabs>
          <w:tab w:val="left" w:pos="851"/>
        </w:tabs>
        <w:ind w:firstLine="480" w:firstLineChars="200"/>
        <w:rPr>
          <w:rFonts w:ascii="仿宋" w:hAnsi="仿宋"/>
          <w:color w:val="auto"/>
        </w:rPr>
      </w:pPr>
      <w:r>
        <w:rPr>
          <w:rFonts w:hint="eastAsia" w:ascii="仿宋" w:hAnsi="仿宋"/>
          <w:color w:val="auto"/>
        </w:rPr>
        <w:t>4.4评审小组独立评判，推荐成交候选人，并写出书面报告。</w:t>
      </w:r>
    </w:p>
    <w:p>
      <w:pPr>
        <w:pStyle w:val="3"/>
        <w:keepNext w:val="0"/>
        <w:keepLines w:val="0"/>
        <w:spacing w:before="0" w:after="0" w:line="360" w:lineRule="auto"/>
        <w:ind w:left="422" w:leftChars="176"/>
        <w:rPr>
          <w:rFonts w:ascii="仿宋" w:hAnsi="仿宋" w:eastAsia="仿宋"/>
          <w:color w:val="auto"/>
          <w:sz w:val="24"/>
          <w:szCs w:val="24"/>
        </w:rPr>
      </w:pPr>
      <w:r>
        <w:rPr>
          <w:rFonts w:hint="eastAsia" w:ascii="仿宋" w:hAnsi="仿宋" w:eastAsia="仿宋"/>
          <w:color w:val="auto"/>
          <w:sz w:val="24"/>
          <w:szCs w:val="24"/>
        </w:rPr>
        <w:t>5.评审小组在采购活动中承担以下义务：</w:t>
      </w:r>
    </w:p>
    <w:p>
      <w:pPr>
        <w:tabs>
          <w:tab w:val="left" w:pos="7665"/>
        </w:tabs>
        <w:ind w:firstLine="480" w:firstLineChars="200"/>
        <w:rPr>
          <w:rFonts w:ascii="仿宋" w:hAnsi="仿宋"/>
          <w:color w:val="auto"/>
        </w:rPr>
      </w:pPr>
      <w:r>
        <w:rPr>
          <w:rFonts w:hint="eastAsia" w:ascii="仿宋" w:hAnsi="仿宋"/>
          <w:color w:val="auto"/>
        </w:rPr>
        <w:t>5.1遵守评审工作纪律；</w:t>
      </w:r>
    </w:p>
    <w:p>
      <w:pPr>
        <w:tabs>
          <w:tab w:val="left" w:pos="7665"/>
        </w:tabs>
        <w:ind w:firstLine="480" w:firstLineChars="200"/>
        <w:rPr>
          <w:rFonts w:ascii="仿宋" w:hAnsi="仿宋"/>
          <w:color w:val="auto"/>
        </w:rPr>
      </w:pPr>
      <w:r>
        <w:rPr>
          <w:rFonts w:hint="eastAsia" w:ascii="仿宋" w:hAnsi="仿宋"/>
          <w:color w:val="auto"/>
        </w:rPr>
        <w:t>5.2按照客观、公正、审慎的原则，根据询比文件规定的评审程序、评审方法和评审标准进行独立评审；</w:t>
      </w:r>
    </w:p>
    <w:p>
      <w:pPr>
        <w:tabs>
          <w:tab w:val="left" w:pos="7665"/>
        </w:tabs>
        <w:ind w:firstLine="480" w:firstLineChars="200"/>
        <w:rPr>
          <w:rFonts w:ascii="仿宋" w:hAnsi="仿宋"/>
          <w:color w:val="auto"/>
        </w:rPr>
      </w:pPr>
      <w:r>
        <w:rPr>
          <w:rFonts w:hint="eastAsia" w:ascii="仿宋" w:hAnsi="仿宋"/>
          <w:color w:val="auto"/>
        </w:rPr>
        <w:t>5.3不得泄露评审文件、评审情况和在评审过程中获悉的商业秘密；</w:t>
      </w:r>
    </w:p>
    <w:p>
      <w:pPr>
        <w:tabs>
          <w:tab w:val="left" w:pos="7665"/>
        </w:tabs>
        <w:ind w:firstLine="480" w:firstLineChars="200"/>
        <w:rPr>
          <w:rFonts w:ascii="仿宋" w:hAnsi="仿宋"/>
          <w:color w:val="auto"/>
        </w:rPr>
      </w:pPr>
      <w:r>
        <w:rPr>
          <w:rFonts w:hint="eastAsia" w:ascii="仿宋" w:hAnsi="仿宋"/>
          <w:color w:val="auto"/>
        </w:rPr>
        <w:t>5.4及时向监督管理部门报告评审过程中发现的采购人、采购代理机构向评审专家做倾向性、误导性的解释或者说明，以及供应商行贿、提供虚假材料或者串通等违法行为；</w:t>
      </w:r>
    </w:p>
    <w:p>
      <w:pPr>
        <w:tabs>
          <w:tab w:val="left" w:pos="7665"/>
        </w:tabs>
        <w:ind w:firstLine="480" w:firstLineChars="200"/>
        <w:rPr>
          <w:rFonts w:ascii="仿宋" w:hAnsi="仿宋"/>
          <w:color w:val="auto"/>
        </w:rPr>
      </w:pPr>
      <w:r>
        <w:rPr>
          <w:rFonts w:hint="eastAsia" w:ascii="仿宋" w:hAnsi="仿宋"/>
          <w:color w:val="auto"/>
        </w:rPr>
        <w:t>5.5及时向有关部门举报在评审过程中受到非法干预的情况；</w:t>
      </w:r>
    </w:p>
    <w:p>
      <w:pPr>
        <w:tabs>
          <w:tab w:val="left" w:pos="7665"/>
        </w:tabs>
        <w:ind w:firstLine="480" w:firstLineChars="200"/>
        <w:rPr>
          <w:rFonts w:ascii="仿宋" w:hAnsi="仿宋"/>
          <w:color w:val="auto"/>
        </w:rPr>
      </w:pPr>
      <w:r>
        <w:rPr>
          <w:rFonts w:hint="eastAsia" w:ascii="仿宋" w:hAnsi="仿宋"/>
          <w:color w:val="auto"/>
        </w:rPr>
        <w:t>5.6配合答复处理供应商的询问、质疑和投诉等事项；</w:t>
      </w:r>
    </w:p>
    <w:p>
      <w:pPr>
        <w:tabs>
          <w:tab w:val="left" w:pos="7665"/>
        </w:tabs>
        <w:ind w:firstLine="480" w:firstLineChars="200"/>
        <w:rPr>
          <w:rFonts w:ascii="仿宋" w:hAnsi="仿宋"/>
          <w:color w:val="auto"/>
        </w:rPr>
      </w:pPr>
      <w:r>
        <w:rPr>
          <w:rFonts w:hint="eastAsia" w:ascii="仿宋" w:hAnsi="仿宋"/>
          <w:color w:val="auto"/>
        </w:rPr>
        <w:t>5.7法律、法规和规章规定的其他义务。</w:t>
      </w:r>
    </w:p>
    <w:p>
      <w:pPr>
        <w:pStyle w:val="3"/>
        <w:keepNext w:val="0"/>
        <w:keepLines w:val="0"/>
        <w:spacing w:before="0" w:after="0" w:line="360" w:lineRule="auto"/>
        <w:ind w:firstLine="424" w:firstLineChars="176"/>
        <w:rPr>
          <w:rFonts w:ascii="仿宋" w:hAnsi="仿宋" w:eastAsia="仿宋"/>
          <w:color w:val="auto"/>
          <w:sz w:val="24"/>
          <w:szCs w:val="24"/>
        </w:rPr>
      </w:pPr>
      <w:r>
        <w:rPr>
          <w:rFonts w:hint="eastAsia" w:ascii="仿宋" w:hAnsi="仿宋" w:eastAsia="仿宋"/>
          <w:color w:val="auto"/>
          <w:sz w:val="24"/>
          <w:szCs w:val="24"/>
        </w:rPr>
        <w:t>6.评审小组成员在采购活动中应当遵守以下工作纪律：</w:t>
      </w:r>
    </w:p>
    <w:p>
      <w:pPr>
        <w:tabs>
          <w:tab w:val="left" w:pos="7665"/>
        </w:tabs>
        <w:ind w:firstLine="480" w:firstLineChars="200"/>
        <w:rPr>
          <w:rFonts w:ascii="仿宋" w:hAnsi="仿宋"/>
          <w:color w:val="auto"/>
        </w:rPr>
      </w:pPr>
      <w:r>
        <w:rPr>
          <w:rFonts w:hint="eastAsia" w:ascii="仿宋" w:hAnsi="仿宋"/>
          <w:color w:val="auto"/>
        </w:rPr>
        <w:t>6.1评审前，应当将通讯工具或者相关电子设备交由采购代理机构统一保管；</w:t>
      </w:r>
    </w:p>
    <w:p>
      <w:pPr>
        <w:tabs>
          <w:tab w:val="left" w:pos="7665"/>
        </w:tabs>
        <w:ind w:firstLine="480" w:firstLineChars="200"/>
        <w:rPr>
          <w:rFonts w:ascii="仿宋" w:hAnsi="仿宋"/>
          <w:color w:val="auto"/>
        </w:rPr>
      </w:pPr>
      <w:r>
        <w:rPr>
          <w:rFonts w:hint="eastAsia" w:ascii="仿宋" w:hAnsi="仿宋"/>
          <w:color w:val="auto"/>
        </w:rPr>
        <w:t>6.2评审过程中，不得与外界联系，因发生不可预见情况，确实需要与外界联系的，应当在监督人员监督之下办理；</w:t>
      </w:r>
    </w:p>
    <w:p>
      <w:pPr>
        <w:tabs>
          <w:tab w:val="left" w:pos="7665"/>
        </w:tabs>
        <w:ind w:firstLine="480" w:firstLineChars="200"/>
        <w:rPr>
          <w:rFonts w:ascii="仿宋" w:hAnsi="仿宋"/>
          <w:color w:val="auto"/>
        </w:rPr>
      </w:pPr>
      <w:r>
        <w:rPr>
          <w:rFonts w:hint="eastAsia" w:ascii="仿宋" w:hAnsi="仿宋"/>
          <w:color w:val="auto"/>
        </w:rPr>
        <w:t>6.3评审过程中，不得发表影响评审公正的倾向性、歧视性言论，不得明示或暗示供应商在澄清时表达与其响应文件原义不同的意见，不得以询比文件没有规定的评审方法和标准作为评审的依据，不得修改或者细化评审程序、评审方法、评审因素和评审标准，不得违规撰写评审意见，不得拒绝对自己的评审意见签字确认；</w:t>
      </w:r>
    </w:p>
    <w:p>
      <w:pPr>
        <w:tabs>
          <w:tab w:val="left" w:pos="7665"/>
        </w:tabs>
        <w:ind w:firstLine="480" w:firstLineChars="200"/>
        <w:rPr>
          <w:rFonts w:ascii="仿宋" w:hAnsi="仿宋"/>
          <w:color w:val="auto"/>
        </w:rPr>
      </w:pPr>
      <w:r>
        <w:rPr>
          <w:rFonts w:hint="eastAsia" w:ascii="仿宋" w:hAnsi="仿宋"/>
          <w:color w:val="auto"/>
        </w:rPr>
        <w:t>6.4在评审过程中和评审结束后，不得记录、复制或带走任何评审资料，不得向外界透露评审内容；</w:t>
      </w:r>
    </w:p>
    <w:p>
      <w:pPr>
        <w:tabs>
          <w:tab w:val="left" w:pos="7665"/>
        </w:tabs>
        <w:ind w:firstLine="480" w:firstLineChars="200"/>
        <w:rPr>
          <w:rFonts w:ascii="仿宋" w:hAnsi="仿宋"/>
          <w:color w:val="auto"/>
        </w:rPr>
      </w:pPr>
      <w:r>
        <w:rPr>
          <w:rFonts w:hint="eastAsia" w:ascii="仿宋" w:hAnsi="仿宋"/>
          <w:color w:val="auto"/>
        </w:rPr>
        <w:t>6.5评审现场服从采购代理机构工作人员的管理，接受现场监督人员的合法监督；</w:t>
      </w:r>
    </w:p>
    <w:p>
      <w:pPr>
        <w:tabs>
          <w:tab w:val="left" w:pos="7665"/>
        </w:tabs>
        <w:ind w:firstLine="480" w:firstLineChars="200"/>
        <w:rPr>
          <w:rFonts w:ascii="仿宋" w:hAnsi="仿宋"/>
          <w:color w:val="auto"/>
        </w:rPr>
      </w:pPr>
      <w:r>
        <w:rPr>
          <w:rFonts w:hint="eastAsia" w:ascii="仿宋" w:hAnsi="仿宋"/>
          <w:color w:val="auto"/>
        </w:rPr>
        <w:t>6.6遵守有关廉洁自律规定，不得私下接触供应商，不得收受供应商及有关业务单位和个人的财物或好处，不得接受采购代理机构的请托。</w:t>
      </w:r>
    </w:p>
    <w:p>
      <w:pPr>
        <w:widowControl/>
        <w:jc w:val="left"/>
        <w:rPr>
          <w:rFonts w:ascii="仿宋" w:hAnsi="仿宋"/>
          <w:b/>
          <w:bCs/>
          <w:color w:val="auto"/>
          <w:sz w:val="32"/>
          <w:szCs w:val="32"/>
        </w:rPr>
      </w:pPr>
      <w:r>
        <w:rPr>
          <w:rFonts w:ascii="仿宋" w:hAnsi="仿宋"/>
          <w:color w:val="auto"/>
        </w:rPr>
        <w:br w:type="page"/>
      </w:r>
    </w:p>
    <w:p>
      <w:pPr>
        <w:pStyle w:val="24"/>
        <w:rPr>
          <w:rFonts w:ascii="仿宋" w:hAnsi="仿宋"/>
          <w:color w:val="auto"/>
        </w:rPr>
      </w:pPr>
      <w:bookmarkStart w:id="126" w:name="_Toc37838088"/>
      <w:r>
        <w:rPr>
          <w:rFonts w:hint="eastAsia" w:ascii="仿宋" w:hAnsi="仿宋"/>
          <w:color w:val="auto"/>
        </w:rPr>
        <w:t>第七章  采购合同</w:t>
      </w:r>
      <w:bookmarkEnd w:id="26"/>
      <w:bookmarkEnd w:id="83"/>
      <w:bookmarkEnd w:id="84"/>
      <w:bookmarkEnd w:id="85"/>
      <w:bookmarkEnd w:id="126"/>
    </w:p>
    <w:p>
      <w:pPr>
        <w:rPr>
          <w:rFonts w:ascii="仿宋" w:hAnsi="仿宋"/>
          <w:color w:val="auto"/>
          <w:sz w:val="28"/>
          <w:szCs w:val="28"/>
          <w:u w:val="single"/>
        </w:rPr>
      </w:pPr>
      <w:r>
        <w:rPr>
          <w:rFonts w:ascii="仿宋" w:hAnsi="仿宋"/>
          <w:color w:val="auto"/>
          <w:sz w:val="28"/>
          <w:szCs w:val="28"/>
        </w:rPr>
        <w:t>合同文本密级：</w:t>
      </w:r>
      <w:r>
        <w:rPr>
          <w:rFonts w:ascii="仿宋" w:hAnsi="仿宋"/>
          <w:color w:val="auto"/>
          <w:sz w:val="28"/>
          <w:szCs w:val="28"/>
          <w:u w:val="single"/>
        </w:rPr>
        <w:t xml:space="preserve">     公开    </w:t>
      </w:r>
      <w:r>
        <w:rPr>
          <w:rFonts w:hint="eastAsia" w:ascii="仿宋" w:hAnsi="仿宋"/>
          <w:color w:val="auto"/>
          <w:sz w:val="28"/>
          <w:szCs w:val="28"/>
          <w:u w:val="single"/>
        </w:rPr>
        <w:t xml:space="preserve"> </w:t>
      </w:r>
    </w:p>
    <w:p>
      <w:pPr>
        <w:rPr>
          <w:rFonts w:ascii="仿宋" w:hAnsi="仿宋"/>
          <w:color w:val="auto"/>
          <w:sz w:val="28"/>
          <w:szCs w:val="28"/>
        </w:rPr>
      </w:pPr>
      <w:r>
        <w:rPr>
          <w:rFonts w:ascii="仿宋" w:hAnsi="仿宋"/>
          <w:color w:val="auto"/>
          <w:sz w:val="28"/>
          <w:szCs w:val="28"/>
        </w:rPr>
        <w:t>合 同 编 号 ：</w:t>
      </w:r>
      <w:r>
        <w:rPr>
          <w:rFonts w:hint="eastAsia" w:ascii="仿宋" w:hAnsi="仿宋"/>
          <w:color w:val="auto"/>
          <w:sz w:val="28"/>
          <w:szCs w:val="28"/>
          <w:u w:val="single"/>
        </w:rPr>
        <w:t xml:space="preserve">              </w:t>
      </w:r>
    </w:p>
    <w:p>
      <w:pPr>
        <w:rPr>
          <w:rFonts w:ascii="仿宋" w:hAnsi="仿宋"/>
          <w:color w:val="auto"/>
          <w:sz w:val="28"/>
          <w:szCs w:val="28"/>
        </w:rPr>
      </w:pPr>
      <w:r>
        <w:rPr>
          <w:rFonts w:ascii="仿宋" w:hAnsi="仿宋"/>
          <w:color w:val="auto"/>
          <w:sz w:val="28"/>
          <w:szCs w:val="28"/>
        </w:rPr>
        <w:t xml:space="preserve">                                            </w:t>
      </w:r>
    </w:p>
    <w:p>
      <w:pPr>
        <w:rPr>
          <w:rFonts w:ascii="仿宋" w:hAnsi="仿宋"/>
          <w:color w:val="auto"/>
        </w:rPr>
      </w:pPr>
    </w:p>
    <w:p>
      <w:pPr>
        <w:rPr>
          <w:rFonts w:ascii="仿宋" w:hAnsi="仿宋"/>
          <w:color w:val="auto"/>
        </w:rPr>
      </w:pPr>
    </w:p>
    <w:p>
      <w:pPr>
        <w:spacing w:after="240" w:afterLines="100"/>
        <w:jc w:val="center"/>
        <w:outlineLvl w:val="2"/>
        <w:rPr>
          <w:rFonts w:ascii="仿宋" w:hAnsi="仿宋"/>
          <w:color w:val="auto"/>
          <w:sz w:val="48"/>
          <w:szCs w:val="48"/>
          <w:u w:val="single"/>
        </w:rPr>
      </w:pPr>
      <w:r>
        <w:rPr>
          <w:rFonts w:ascii="仿宋" w:hAnsi="仿宋"/>
          <w:color w:val="auto"/>
          <w:sz w:val="52"/>
          <w:szCs w:val="52"/>
        </w:rPr>
        <w:t>采购合同</w:t>
      </w:r>
    </w:p>
    <w:p>
      <w:pPr>
        <w:rPr>
          <w:rFonts w:ascii="仿宋" w:hAnsi="仿宋"/>
          <w:b/>
          <w:bCs/>
          <w:color w:val="auto"/>
          <w:sz w:val="68"/>
          <w:szCs w:val="68"/>
        </w:rPr>
      </w:pPr>
    </w:p>
    <w:p>
      <w:pPr>
        <w:rPr>
          <w:rFonts w:ascii="仿宋" w:hAnsi="仿宋"/>
          <w:b/>
          <w:bCs/>
          <w:color w:val="auto"/>
          <w:sz w:val="68"/>
          <w:szCs w:val="68"/>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3"/>
        <w:gridCol w:w="6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dxa"/>
            <w:tcBorders>
              <w:top w:val="nil"/>
              <w:left w:val="nil"/>
              <w:bottom w:val="nil"/>
              <w:right w:val="nil"/>
            </w:tcBorders>
            <w:vAlign w:val="bottom"/>
          </w:tcPr>
          <w:p>
            <w:pPr>
              <w:spacing w:line="960" w:lineRule="exact"/>
              <w:rPr>
                <w:rFonts w:ascii="仿宋" w:hAnsi="仿宋"/>
                <w:b/>
                <w:bCs/>
                <w:color w:val="auto"/>
                <w:sz w:val="36"/>
                <w:szCs w:val="36"/>
              </w:rPr>
            </w:pPr>
            <w:r>
              <w:rPr>
                <w:rFonts w:ascii="仿宋" w:hAnsi="仿宋"/>
                <w:b/>
                <w:bCs/>
                <w:color w:val="auto"/>
                <w:sz w:val="36"/>
                <w:szCs w:val="36"/>
              </w:rPr>
              <w:t>项目名称：</w:t>
            </w:r>
          </w:p>
        </w:tc>
        <w:tc>
          <w:tcPr>
            <w:tcW w:w="6476" w:type="dxa"/>
            <w:tcBorders>
              <w:top w:val="nil"/>
              <w:left w:val="nil"/>
              <w:right w:val="nil"/>
            </w:tcBorders>
            <w:vAlign w:val="bottom"/>
          </w:tcPr>
          <w:p>
            <w:pPr>
              <w:spacing w:line="960" w:lineRule="exact"/>
              <w:jc w:val="center"/>
              <w:rPr>
                <w:rFonts w:ascii="仿宋" w:hAnsi="仿宋"/>
                <w:b/>
                <w:bCs/>
                <w:color w:val="auto"/>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dxa"/>
            <w:tcBorders>
              <w:top w:val="nil"/>
              <w:left w:val="nil"/>
              <w:bottom w:val="nil"/>
              <w:right w:val="nil"/>
            </w:tcBorders>
            <w:vAlign w:val="bottom"/>
          </w:tcPr>
          <w:p>
            <w:pPr>
              <w:spacing w:line="960" w:lineRule="exact"/>
              <w:rPr>
                <w:rFonts w:ascii="仿宋" w:hAnsi="仿宋"/>
                <w:b/>
                <w:bCs/>
                <w:color w:val="auto"/>
                <w:sz w:val="36"/>
                <w:szCs w:val="36"/>
              </w:rPr>
            </w:pPr>
            <w:r>
              <w:rPr>
                <w:rFonts w:ascii="仿宋" w:hAnsi="仿宋"/>
                <w:b/>
                <w:bCs/>
                <w:color w:val="auto"/>
                <w:sz w:val="36"/>
                <w:szCs w:val="36"/>
              </w:rPr>
              <w:t>甲方单位：</w:t>
            </w:r>
          </w:p>
        </w:tc>
        <w:tc>
          <w:tcPr>
            <w:tcW w:w="6476" w:type="dxa"/>
            <w:tcBorders>
              <w:left w:val="nil"/>
              <w:right w:val="nil"/>
            </w:tcBorders>
            <w:vAlign w:val="bottom"/>
          </w:tcPr>
          <w:p>
            <w:pPr>
              <w:spacing w:line="960" w:lineRule="exact"/>
              <w:jc w:val="center"/>
              <w:rPr>
                <w:rFonts w:ascii="仿宋" w:hAnsi="仿宋"/>
                <w:b/>
                <w:bCs/>
                <w:color w:val="auto"/>
                <w:sz w:val="30"/>
                <w:szCs w:val="30"/>
              </w:rPr>
            </w:pPr>
            <w:r>
              <w:rPr>
                <w:rFonts w:ascii="仿宋" w:hAnsi="仿宋"/>
                <w:b/>
                <w:bCs/>
                <w:color w:val="auto"/>
                <w:sz w:val="36"/>
                <w:szCs w:val="36"/>
              </w:rPr>
              <w:t>中国工程物理研究院激光聚变研究中心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dxa"/>
            <w:tcBorders>
              <w:top w:val="nil"/>
              <w:left w:val="nil"/>
              <w:bottom w:val="nil"/>
              <w:right w:val="nil"/>
            </w:tcBorders>
            <w:vAlign w:val="bottom"/>
          </w:tcPr>
          <w:p>
            <w:pPr>
              <w:spacing w:line="960" w:lineRule="exact"/>
              <w:rPr>
                <w:rFonts w:ascii="仿宋" w:hAnsi="仿宋"/>
                <w:b/>
                <w:bCs/>
                <w:color w:val="auto"/>
                <w:sz w:val="36"/>
                <w:szCs w:val="36"/>
              </w:rPr>
            </w:pPr>
            <w:r>
              <w:rPr>
                <w:rFonts w:ascii="仿宋" w:hAnsi="仿宋"/>
                <w:b/>
                <w:bCs/>
                <w:color w:val="auto"/>
                <w:sz w:val="36"/>
                <w:szCs w:val="36"/>
              </w:rPr>
              <w:t>乙方单位：</w:t>
            </w:r>
          </w:p>
        </w:tc>
        <w:tc>
          <w:tcPr>
            <w:tcW w:w="6476" w:type="dxa"/>
            <w:tcBorders>
              <w:left w:val="nil"/>
              <w:right w:val="nil"/>
            </w:tcBorders>
            <w:vAlign w:val="bottom"/>
          </w:tcPr>
          <w:p>
            <w:pPr>
              <w:spacing w:line="960" w:lineRule="exact"/>
              <w:jc w:val="center"/>
              <w:rPr>
                <w:rFonts w:ascii="仿宋" w:hAnsi="仿宋"/>
                <w:b/>
                <w:bCs/>
                <w:color w:val="auto"/>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dxa"/>
            <w:tcBorders>
              <w:top w:val="nil"/>
              <w:left w:val="nil"/>
              <w:bottom w:val="nil"/>
              <w:right w:val="nil"/>
            </w:tcBorders>
            <w:vAlign w:val="bottom"/>
          </w:tcPr>
          <w:p>
            <w:pPr>
              <w:spacing w:line="960" w:lineRule="exact"/>
              <w:rPr>
                <w:rFonts w:ascii="仿宋" w:hAnsi="仿宋"/>
                <w:b/>
                <w:bCs/>
                <w:color w:val="auto"/>
                <w:sz w:val="36"/>
                <w:szCs w:val="36"/>
              </w:rPr>
            </w:pPr>
            <w:r>
              <w:rPr>
                <w:rFonts w:ascii="仿宋" w:hAnsi="仿宋"/>
                <w:b/>
                <w:bCs/>
                <w:color w:val="auto"/>
                <w:sz w:val="36"/>
                <w:szCs w:val="36"/>
              </w:rPr>
              <w:t>签订时间：</w:t>
            </w:r>
          </w:p>
        </w:tc>
        <w:tc>
          <w:tcPr>
            <w:tcW w:w="6476" w:type="dxa"/>
            <w:tcBorders>
              <w:left w:val="nil"/>
              <w:right w:val="nil"/>
            </w:tcBorders>
            <w:vAlign w:val="bottom"/>
          </w:tcPr>
          <w:p>
            <w:pPr>
              <w:spacing w:line="960" w:lineRule="exact"/>
              <w:jc w:val="center"/>
              <w:rPr>
                <w:rFonts w:ascii="仿宋" w:hAnsi="仿宋"/>
                <w:b/>
                <w:bCs/>
                <w:color w:val="auto"/>
                <w:sz w:val="36"/>
                <w:szCs w:val="36"/>
              </w:rPr>
            </w:pPr>
            <w:r>
              <w:rPr>
                <w:rFonts w:ascii="仿宋" w:hAnsi="仿宋"/>
                <w:b/>
                <w:bCs/>
                <w:color w:val="auto"/>
                <w:sz w:val="36"/>
                <w:szCs w:val="36"/>
              </w:rPr>
              <w:t>　2023年</w:t>
            </w:r>
            <w:r>
              <w:rPr>
                <w:rFonts w:hint="eastAsia" w:ascii="仿宋" w:hAnsi="仿宋"/>
                <w:b/>
                <w:bCs/>
                <w:color w:val="auto"/>
                <w:sz w:val="36"/>
                <w:szCs w:val="36"/>
              </w:rPr>
              <w:t xml:space="preserve">  </w:t>
            </w:r>
            <w:r>
              <w:rPr>
                <w:rFonts w:ascii="仿宋" w:hAnsi="仿宋"/>
                <w:b/>
                <w:bCs/>
                <w:color w:val="auto"/>
                <w:sz w:val="36"/>
                <w:szCs w:val="36"/>
              </w:rPr>
              <w:t>月</w:t>
            </w:r>
            <w:r>
              <w:rPr>
                <w:rFonts w:hint="eastAsia" w:ascii="仿宋" w:hAnsi="仿宋"/>
                <w:b/>
                <w:bCs/>
                <w:color w:val="auto"/>
                <w:sz w:val="36"/>
                <w:szCs w:val="36"/>
              </w:rPr>
              <w:t xml:space="preserve">  </w:t>
            </w:r>
            <w:r>
              <w:rPr>
                <w:rFonts w:ascii="仿宋" w:hAnsi="仿宋"/>
                <w:b/>
                <w:bCs/>
                <w:color w:val="auto"/>
                <w:sz w:val="36"/>
                <w:szCs w:val="36"/>
              </w:rPr>
              <w:t>日</w:t>
            </w:r>
          </w:p>
        </w:tc>
      </w:tr>
    </w:tbl>
    <w:p>
      <w:pPr>
        <w:rPr>
          <w:rFonts w:ascii="仿宋" w:hAnsi="仿宋"/>
          <w:b/>
          <w:bCs/>
          <w:color w:val="auto"/>
          <w:sz w:val="68"/>
          <w:szCs w:val="68"/>
        </w:rPr>
      </w:pPr>
    </w:p>
    <w:p>
      <w:pPr>
        <w:rPr>
          <w:rFonts w:ascii="仿宋" w:hAnsi="仿宋"/>
          <w:b/>
          <w:bCs/>
          <w:color w:val="auto"/>
          <w:szCs w:val="21"/>
        </w:rPr>
      </w:pPr>
    </w:p>
    <w:p>
      <w:pPr>
        <w:jc w:val="center"/>
        <w:rPr>
          <w:rFonts w:ascii="仿宋" w:hAnsi="仿宋"/>
          <w:b/>
          <w:bCs/>
          <w:color w:val="auto"/>
          <w:sz w:val="36"/>
          <w:szCs w:val="36"/>
        </w:rPr>
      </w:pPr>
      <w:r>
        <w:rPr>
          <w:rFonts w:ascii="仿宋" w:hAnsi="仿宋"/>
          <w:b/>
          <w:bCs/>
          <w:color w:val="auto"/>
          <w:sz w:val="36"/>
          <w:szCs w:val="36"/>
        </w:rPr>
        <w:t>中国工程物理研究院激光聚变研究中心</w:t>
      </w:r>
    </w:p>
    <w:tbl>
      <w:tblPr>
        <w:tblStyle w:val="26"/>
        <w:tblW w:w="9302"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
        <w:gridCol w:w="569"/>
        <w:gridCol w:w="1418"/>
        <w:gridCol w:w="3544"/>
        <w:gridCol w:w="1665"/>
        <w:gridCol w:w="1878"/>
        <w:gridCol w:w="1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1145" w:hRule="exact"/>
        </w:trPr>
        <w:tc>
          <w:tcPr>
            <w:tcW w:w="675" w:type="dxa"/>
            <w:gridSpan w:val="2"/>
            <w:vMerge w:val="restart"/>
            <w:vAlign w:val="center"/>
          </w:tcPr>
          <w:p>
            <w:pPr>
              <w:jc w:val="center"/>
              <w:rPr>
                <w:rFonts w:ascii="仿宋" w:hAnsi="仿宋"/>
                <w:b/>
                <w:bCs/>
                <w:color w:val="auto"/>
              </w:rPr>
            </w:pPr>
            <w:r>
              <w:rPr>
                <w:rFonts w:ascii="仿宋" w:hAnsi="仿宋"/>
                <w:b/>
                <w:bCs/>
                <w:color w:val="auto"/>
              </w:rPr>
              <w:t>甲方</w:t>
            </w:r>
          </w:p>
        </w:tc>
        <w:tc>
          <w:tcPr>
            <w:tcW w:w="1418" w:type="dxa"/>
            <w:vAlign w:val="center"/>
          </w:tcPr>
          <w:p>
            <w:pPr>
              <w:jc w:val="center"/>
              <w:rPr>
                <w:rFonts w:ascii="仿宋" w:hAnsi="仿宋"/>
                <w:b/>
                <w:bCs/>
                <w:color w:val="auto"/>
              </w:rPr>
            </w:pPr>
            <w:r>
              <w:rPr>
                <w:rFonts w:ascii="仿宋" w:hAnsi="仿宋"/>
                <w:b/>
                <w:bCs/>
                <w:color w:val="auto"/>
              </w:rPr>
              <w:t>单位名称</w:t>
            </w:r>
          </w:p>
        </w:tc>
        <w:tc>
          <w:tcPr>
            <w:tcW w:w="3544" w:type="dxa"/>
            <w:vAlign w:val="center"/>
          </w:tcPr>
          <w:p>
            <w:pPr>
              <w:spacing w:line="400" w:lineRule="exact"/>
              <w:jc w:val="center"/>
              <w:rPr>
                <w:rFonts w:ascii="仿宋" w:hAnsi="仿宋"/>
                <w:b/>
                <w:bCs/>
                <w:color w:val="auto"/>
              </w:rPr>
            </w:pPr>
            <w:r>
              <w:rPr>
                <w:rFonts w:ascii="仿宋" w:hAnsi="仿宋"/>
                <w:b/>
                <w:bCs/>
                <w:color w:val="auto"/>
              </w:rPr>
              <w:t>中国工程物理研究院激光聚变研究中心</w:t>
            </w:r>
          </w:p>
        </w:tc>
        <w:tc>
          <w:tcPr>
            <w:tcW w:w="1665" w:type="dxa"/>
            <w:vAlign w:val="center"/>
          </w:tcPr>
          <w:p>
            <w:pPr>
              <w:spacing w:line="360" w:lineRule="exact"/>
              <w:jc w:val="center"/>
              <w:rPr>
                <w:rFonts w:ascii="仿宋" w:hAnsi="仿宋"/>
                <w:b/>
                <w:bCs/>
                <w:color w:val="auto"/>
              </w:rPr>
            </w:pPr>
            <w:r>
              <w:rPr>
                <w:rFonts w:ascii="仿宋" w:hAnsi="仿宋"/>
                <w:b/>
                <w:bCs/>
                <w:color w:val="auto"/>
              </w:rPr>
              <w:t>法定代表人(或委托代理人)</w:t>
            </w:r>
          </w:p>
        </w:tc>
        <w:tc>
          <w:tcPr>
            <w:tcW w:w="1878" w:type="dxa"/>
            <w:vAlign w:val="center"/>
          </w:tcPr>
          <w:p>
            <w:pPr>
              <w:spacing w:line="400" w:lineRule="exact"/>
              <w:jc w:val="center"/>
              <w:rPr>
                <w:rFonts w:ascii="仿宋" w:hAnsi="仿宋"/>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851" w:hRule="exact"/>
        </w:trPr>
        <w:tc>
          <w:tcPr>
            <w:tcW w:w="675" w:type="dxa"/>
            <w:gridSpan w:val="2"/>
            <w:vMerge w:val="continue"/>
            <w:vAlign w:val="center"/>
          </w:tcPr>
          <w:p>
            <w:pPr>
              <w:jc w:val="center"/>
              <w:rPr>
                <w:rFonts w:ascii="仿宋" w:hAnsi="仿宋"/>
                <w:b/>
                <w:bCs/>
                <w:color w:val="auto"/>
              </w:rPr>
            </w:pPr>
          </w:p>
        </w:tc>
        <w:tc>
          <w:tcPr>
            <w:tcW w:w="1418" w:type="dxa"/>
            <w:vAlign w:val="center"/>
          </w:tcPr>
          <w:p>
            <w:pPr>
              <w:jc w:val="center"/>
              <w:rPr>
                <w:rFonts w:ascii="仿宋" w:hAnsi="仿宋"/>
                <w:b/>
                <w:bCs/>
                <w:color w:val="auto"/>
              </w:rPr>
            </w:pPr>
            <w:r>
              <w:rPr>
                <w:rFonts w:ascii="仿宋" w:hAnsi="仿宋"/>
                <w:b/>
                <w:bCs/>
                <w:color w:val="auto"/>
              </w:rPr>
              <w:t>单位地址</w:t>
            </w:r>
          </w:p>
        </w:tc>
        <w:tc>
          <w:tcPr>
            <w:tcW w:w="3544" w:type="dxa"/>
            <w:vAlign w:val="center"/>
          </w:tcPr>
          <w:p>
            <w:pPr>
              <w:spacing w:line="400" w:lineRule="exact"/>
              <w:jc w:val="center"/>
              <w:rPr>
                <w:rFonts w:ascii="仿宋" w:hAnsi="仿宋"/>
                <w:b/>
                <w:bCs/>
                <w:color w:val="auto"/>
              </w:rPr>
            </w:pPr>
            <w:r>
              <w:rPr>
                <w:rFonts w:ascii="仿宋" w:hAnsi="仿宋"/>
                <w:b/>
                <w:color w:val="auto"/>
              </w:rPr>
              <w:t>四川省绵阳市游仙区绵山路64号</w:t>
            </w:r>
          </w:p>
        </w:tc>
        <w:tc>
          <w:tcPr>
            <w:tcW w:w="1665" w:type="dxa"/>
            <w:vAlign w:val="center"/>
          </w:tcPr>
          <w:p>
            <w:pPr>
              <w:spacing w:line="360" w:lineRule="exact"/>
              <w:jc w:val="center"/>
              <w:rPr>
                <w:rFonts w:ascii="仿宋" w:hAnsi="仿宋"/>
                <w:b/>
                <w:bCs/>
                <w:color w:val="auto"/>
              </w:rPr>
            </w:pPr>
            <w:r>
              <w:rPr>
                <w:rFonts w:ascii="仿宋" w:hAnsi="仿宋"/>
                <w:b/>
                <w:bCs/>
                <w:color w:val="auto"/>
              </w:rPr>
              <w:t>邮政编码</w:t>
            </w:r>
          </w:p>
        </w:tc>
        <w:tc>
          <w:tcPr>
            <w:tcW w:w="1878" w:type="dxa"/>
            <w:vAlign w:val="center"/>
          </w:tcPr>
          <w:p>
            <w:pPr>
              <w:jc w:val="center"/>
              <w:rPr>
                <w:rFonts w:ascii="仿宋" w:hAnsi="仿宋"/>
                <w:b/>
                <w:bCs/>
                <w:color w:val="auto"/>
              </w:rPr>
            </w:pPr>
            <w:r>
              <w:rPr>
                <w:rFonts w:ascii="仿宋" w:hAnsi="仿宋"/>
                <w:b/>
                <w:bCs/>
                <w:color w:val="auto"/>
              </w:rPr>
              <w:t>621900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851" w:hRule="exact"/>
        </w:trPr>
        <w:tc>
          <w:tcPr>
            <w:tcW w:w="675" w:type="dxa"/>
            <w:gridSpan w:val="2"/>
            <w:vMerge w:val="continue"/>
            <w:vAlign w:val="center"/>
          </w:tcPr>
          <w:p>
            <w:pPr>
              <w:jc w:val="center"/>
              <w:rPr>
                <w:rFonts w:ascii="仿宋" w:hAnsi="仿宋"/>
                <w:b/>
                <w:bCs/>
                <w:color w:val="auto"/>
              </w:rPr>
            </w:pPr>
          </w:p>
        </w:tc>
        <w:tc>
          <w:tcPr>
            <w:tcW w:w="1418" w:type="dxa"/>
            <w:vAlign w:val="center"/>
          </w:tcPr>
          <w:p>
            <w:pPr>
              <w:jc w:val="center"/>
              <w:rPr>
                <w:rFonts w:ascii="仿宋" w:hAnsi="仿宋"/>
                <w:b/>
                <w:bCs/>
                <w:color w:val="auto"/>
              </w:rPr>
            </w:pPr>
            <w:r>
              <w:rPr>
                <w:rFonts w:ascii="仿宋" w:hAnsi="仿宋"/>
                <w:b/>
                <w:bCs/>
                <w:color w:val="auto"/>
              </w:rPr>
              <w:t>通讯地址</w:t>
            </w:r>
          </w:p>
        </w:tc>
        <w:tc>
          <w:tcPr>
            <w:tcW w:w="3544" w:type="dxa"/>
            <w:vAlign w:val="center"/>
          </w:tcPr>
          <w:p>
            <w:pPr>
              <w:spacing w:line="400" w:lineRule="exact"/>
              <w:jc w:val="center"/>
              <w:rPr>
                <w:rFonts w:ascii="仿宋" w:hAnsi="仿宋"/>
                <w:b/>
                <w:color w:val="auto"/>
              </w:rPr>
            </w:pPr>
            <w:r>
              <w:rPr>
                <w:rFonts w:ascii="仿宋" w:hAnsi="仿宋"/>
                <w:b/>
                <w:color w:val="auto"/>
              </w:rPr>
              <w:t>四川省绵阳市游仙区绵山路64号</w:t>
            </w:r>
          </w:p>
        </w:tc>
        <w:tc>
          <w:tcPr>
            <w:tcW w:w="1665" w:type="dxa"/>
            <w:vAlign w:val="center"/>
          </w:tcPr>
          <w:p>
            <w:pPr>
              <w:spacing w:line="360" w:lineRule="exact"/>
              <w:jc w:val="center"/>
              <w:rPr>
                <w:rFonts w:ascii="仿宋" w:hAnsi="仿宋"/>
                <w:b/>
                <w:bCs/>
                <w:color w:val="auto"/>
              </w:rPr>
            </w:pPr>
          </w:p>
        </w:tc>
        <w:tc>
          <w:tcPr>
            <w:tcW w:w="1878" w:type="dxa"/>
            <w:vAlign w:val="center"/>
          </w:tcPr>
          <w:p>
            <w:pPr>
              <w:jc w:val="center"/>
              <w:rPr>
                <w:rFonts w:ascii="仿宋" w:hAnsi="仿宋"/>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851" w:hRule="exact"/>
        </w:trPr>
        <w:tc>
          <w:tcPr>
            <w:tcW w:w="675" w:type="dxa"/>
            <w:gridSpan w:val="2"/>
            <w:vMerge w:val="continue"/>
            <w:vAlign w:val="center"/>
          </w:tcPr>
          <w:p>
            <w:pPr>
              <w:jc w:val="center"/>
              <w:rPr>
                <w:rFonts w:ascii="仿宋" w:hAnsi="仿宋"/>
                <w:b/>
                <w:bCs/>
                <w:color w:val="auto"/>
              </w:rPr>
            </w:pPr>
          </w:p>
        </w:tc>
        <w:tc>
          <w:tcPr>
            <w:tcW w:w="1418" w:type="dxa"/>
            <w:vAlign w:val="center"/>
          </w:tcPr>
          <w:p>
            <w:pPr>
              <w:spacing w:line="360" w:lineRule="exact"/>
              <w:jc w:val="center"/>
              <w:rPr>
                <w:rFonts w:ascii="仿宋" w:hAnsi="仿宋"/>
                <w:b/>
                <w:bCs/>
                <w:color w:val="auto"/>
              </w:rPr>
            </w:pPr>
            <w:r>
              <w:rPr>
                <w:rFonts w:ascii="仿宋" w:hAnsi="仿宋"/>
                <w:b/>
                <w:bCs/>
                <w:color w:val="auto"/>
              </w:rPr>
              <w:t>联系人</w:t>
            </w:r>
          </w:p>
        </w:tc>
        <w:tc>
          <w:tcPr>
            <w:tcW w:w="3544" w:type="dxa"/>
            <w:vAlign w:val="center"/>
          </w:tcPr>
          <w:p>
            <w:pPr>
              <w:spacing w:line="400" w:lineRule="exact"/>
              <w:jc w:val="center"/>
              <w:rPr>
                <w:rFonts w:ascii="仿宋" w:hAnsi="仿宋"/>
                <w:b/>
                <w:bCs/>
                <w:color w:val="auto"/>
              </w:rPr>
            </w:pPr>
          </w:p>
        </w:tc>
        <w:tc>
          <w:tcPr>
            <w:tcW w:w="1665" w:type="dxa"/>
            <w:vAlign w:val="center"/>
          </w:tcPr>
          <w:p>
            <w:pPr>
              <w:spacing w:line="360" w:lineRule="exact"/>
              <w:rPr>
                <w:rFonts w:ascii="仿宋" w:hAnsi="仿宋"/>
                <w:b/>
                <w:bCs/>
                <w:color w:val="auto"/>
              </w:rPr>
            </w:pPr>
            <w:r>
              <w:rPr>
                <w:rFonts w:hint="eastAsia" w:ascii="仿宋" w:hAnsi="仿宋"/>
                <w:b/>
                <w:bCs/>
                <w:color w:val="auto"/>
              </w:rPr>
              <w:t>技术</w:t>
            </w:r>
            <w:r>
              <w:rPr>
                <w:rFonts w:ascii="仿宋" w:hAnsi="仿宋"/>
                <w:b/>
                <w:bCs/>
                <w:color w:val="auto"/>
              </w:rPr>
              <w:t>联系</w:t>
            </w:r>
            <w:r>
              <w:rPr>
                <w:rFonts w:hint="eastAsia" w:ascii="仿宋" w:hAnsi="仿宋"/>
                <w:b/>
                <w:bCs/>
                <w:color w:val="auto"/>
              </w:rPr>
              <w:t>人</w:t>
            </w:r>
          </w:p>
        </w:tc>
        <w:tc>
          <w:tcPr>
            <w:tcW w:w="1878" w:type="dxa"/>
            <w:vAlign w:val="center"/>
          </w:tcPr>
          <w:p>
            <w:pPr>
              <w:jc w:val="center"/>
              <w:rPr>
                <w:rFonts w:ascii="仿宋" w:hAnsi="仿宋"/>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851" w:hRule="exact"/>
        </w:trPr>
        <w:tc>
          <w:tcPr>
            <w:tcW w:w="675" w:type="dxa"/>
            <w:gridSpan w:val="2"/>
            <w:vMerge w:val="continue"/>
            <w:vAlign w:val="center"/>
          </w:tcPr>
          <w:p>
            <w:pPr>
              <w:jc w:val="center"/>
              <w:rPr>
                <w:rFonts w:ascii="仿宋" w:hAnsi="仿宋"/>
                <w:b/>
                <w:bCs/>
                <w:color w:val="auto"/>
              </w:rPr>
            </w:pPr>
          </w:p>
        </w:tc>
        <w:tc>
          <w:tcPr>
            <w:tcW w:w="1418" w:type="dxa"/>
            <w:vAlign w:val="center"/>
          </w:tcPr>
          <w:p>
            <w:pPr>
              <w:spacing w:line="360" w:lineRule="exact"/>
              <w:jc w:val="center"/>
              <w:rPr>
                <w:rFonts w:ascii="仿宋" w:hAnsi="仿宋"/>
                <w:b/>
                <w:bCs/>
                <w:color w:val="auto"/>
              </w:rPr>
            </w:pPr>
            <w:r>
              <w:rPr>
                <w:rFonts w:ascii="仿宋" w:hAnsi="仿宋"/>
                <w:b/>
                <w:bCs/>
                <w:color w:val="auto"/>
              </w:rPr>
              <w:t>纳税人</w:t>
            </w:r>
          </w:p>
          <w:p>
            <w:pPr>
              <w:spacing w:line="360" w:lineRule="exact"/>
              <w:jc w:val="center"/>
              <w:rPr>
                <w:rFonts w:ascii="仿宋" w:hAnsi="仿宋"/>
                <w:b/>
                <w:bCs/>
                <w:color w:val="auto"/>
              </w:rPr>
            </w:pPr>
            <w:r>
              <w:rPr>
                <w:rFonts w:ascii="仿宋" w:hAnsi="仿宋"/>
                <w:b/>
                <w:bCs/>
                <w:color w:val="auto"/>
              </w:rPr>
              <w:t>识别号</w:t>
            </w:r>
          </w:p>
        </w:tc>
        <w:tc>
          <w:tcPr>
            <w:tcW w:w="3544" w:type="dxa"/>
            <w:vAlign w:val="center"/>
          </w:tcPr>
          <w:p>
            <w:pPr>
              <w:spacing w:line="400" w:lineRule="exact"/>
              <w:jc w:val="center"/>
              <w:rPr>
                <w:rFonts w:ascii="仿宋" w:hAnsi="仿宋"/>
                <w:b/>
                <w:bCs/>
                <w:color w:val="auto"/>
              </w:rPr>
            </w:pPr>
            <w:r>
              <w:rPr>
                <w:rFonts w:ascii="仿宋" w:hAnsi="仿宋"/>
                <w:b/>
                <w:bCs/>
                <w:color w:val="auto"/>
              </w:rPr>
              <w:t>12100000717802246H</w:t>
            </w:r>
          </w:p>
        </w:tc>
        <w:tc>
          <w:tcPr>
            <w:tcW w:w="3543" w:type="dxa"/>
            <w:gridSpan w:val="2"/>
            <w:vMerge w:val="restart"/>
            <w:vAlign w:val="center"/>
          </w:tcPr>
          <w:p>
            <w:pPr>
              <w:jc w:val="center"/>
              <w:rPr>
                <w:rFonts w:ascii="仿宋" w:hAnsi="仿宋"/>
                <w:b/>
                <w:bCs/>
                <w:color w:val="auto"/>
              </w:rPr>
            </w:pPr>
            <w:r>
              <w:rPr>
                <w:rFonts w:ascii="仿宋" w:hAnsi="仿宋"/>
                <w:b/>
                <w:bCs/>
                <w:color w:val="auto"/>
              </w:rPr>
              <w:t>(单位公章或合同专用章)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854" w:hRule="exact"/>
        </w:trPr>
        <w:tc>
          <w:tcPr>
            <w:tcW w:w="675" w:type="dxa"/>
            <w:gridSpan w:val="2"/>
            <w:vMerge w:val="continue"/>
            <w:vAlign w:val="center"/>
          </w:tcPr>
          <w:p>
            <w:pPr>
              <w:jc w:val="center"/>
              <w:rPr>
                <w:rFonts w:ascii="仿宋" w:hAnsi="仿宋"/>
                <w:b/>
                <w:bCs/>
                <w:color w:val="auto"/>
              </w:rPr>
            </w:pPr>
          </w:p>
        </w:tc>
        <w:tc>
          <w:tcPr>
            <w:tcW w:w="1418" w:type="dxa"/>
            <w:vAlign w:val="center"/>
          </w:tcPr>
          <w:p>
            <w:pPr>
              <w:jc w:val="center"/>
              <w:rPr>
                <w:rFonts w:ascii="仿宋" w:hAnsi="仿宋"/>
                <w:b/>
                <w:bCs/>
                <w:color w:val="auto"/>
              </w:rPr>
            </w:pPr>
            <w:r>
              <w:rPr>
                <w:rFonts w:ascii="仿宋" w:hAnsi="仿宋"/>
                <w:b/>
                <w:bCs/>
                <w:color w:val="auto"/>
              </w:rPr>
              <w:t>开户行</w:t>
            </w:r>
          </w:p>
        </w:tc>
        <w:tc>
          <w:tcPr>
            <w:tcW w:w="3544" w:type="dxa"/>
            <w:vAlign w:val="center"/>
          </w:tcPr>
          <w:p>
            <w:pPr>
              <w:spacing w:line="400" w:lineRule="exact"/>
              <w:jc w:val="center"/>
              <w:rPr>
                <w:rFonts w:ascii="仿宋" w:hAnsi="仿宋"/>
                <w:b/>
                <w:color w:val="auto"/>
              </w:rPr>
            </w:pPr>
            <w:r>
              <w:rPr>
                <w:rFonts w:ascii="仿宋" w:hAnsi="仿宋"/>
                <w:b/>
                <w:color w:val="auto"/>
              </w:rPr>
              <w:t>四川省绵阳市工行科学城支行</w:t>
            </w:r>
          </w:p>
        </w:tc>
        <w:tc>
          <w:tcPr>
            <w:tcW w:w="3543" w:type="dxa"/>
            <w:gridSpan w:val="2"/>
            <w:vMerge w:val="continue"/>
            <w:vAlign w:val="center"/>
          </w:tcPr>
          <w:p>
            <w:pPr>
              <w:jc w:val="center"/>
              <w:rPr>
                <w:rFonts w:ascii="仿宋" w:hAnsi="仿宋"/>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851" w:hRule="exact"/>
        </w:trPr>
        <w:tc>
          <w:tcPr>
            <w:tcW w:w="675" w:type="dxa"/>
            <w:gridSpan w:val="2"/>
            <w:vMerge w:val="continue"/>
            <w:vAlign w:val="center"/>
          </w:tcPr>
          <w:p>
            <w:pPr>
              <w:jc w:val="center"/>
              <w:rPr>
                <w:rFonts w:ascii="仿宋" w:hAnsi="仿宋"/>
                <w:b/>
                <w:bCs/>
                <w:color w:val="auto"/>
              </w:rPr>
            </w:pPr>
          </w:p>
        </w:tc>
        <w:tc>
          <w:tcPr>
            <w:tcW w:w="1418" w:type="dxa"/>
            <w:vAlign w:val="center"/>
          </w:tcPr>
          <w:p>
            <w:pPr>
              <w:jc w:val="center"/>
              <w:rPr>
                <w:rFonts w:ascii="仿宋" w:hAnsi="仿宋"/>
                <w:b/>
                <w:bCs/>
                <w:color w:val="auto"/>
              </w:rPr>
            </w:pPr>
            <w:r>
              <w:rPr>
                <w:rFonts w:ascii="仿宋" w:hAnsi="仿宋"/>
                <w:b/>
                <w:bCs/>
                <w:color w:val="auto"/>
              </w:rPr>
              <w:t>开户名称</w:t>
            </w:r>
          </w:p>
        </w:tc>
        <w:tc>
          <w:tcPr>
            <w:tcW w:w="3544" w:type="dxa"/>
            <w:vAlign w:val="center"/>
          </w:tcPr>
          <w:p>
            <w:pPr>
              <w:spacing w:line="400" w:lineRule="exact"/>
              <w:jc w:val="center"/>
              <w:rPr>
                <w:rFonts w:ascii="仿宋" w:hAnsi="仿宋"/>
                <w:b/>
                <w:color w:val="auto"/>
              </w:rPr>
            </w:pPr>
            <w:r>
              <w:rPr>
                <w:rFonts w:ascii="仿宋" w:hAnsi="仿宋"/>
                <w:b/>
                <w:color w:val="auto"/>
              </w:rPr>
              <w:t>中国工程物理研究院激光聚变研究中心</w:t>
            </w:r>
          </w:p>
        </w:tc>
        <w:tc>
          <w:tcPr>
            <w:tcW w:w="3543" w:type="dxa"/>
            <w:gridSpan w:val="2"/>
            <w:vMerge w:val="continue"/>
            <w:vAlign w:val="center"/>
          </w:tcPr>
          <w:p>
            <w:pPr>
              <w:jc w:val="center"/>
              <w:rPr>
                <w:rFonts w:ascii="仿宋" w:hAnsi="仿宋"/>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851" w:hRule="exact"/>
        </w:trPr>
        <w:tc>
          <w:tcPr>
            <w:tcW w:w="675" w:type="dxa"/>
            <w:gridSpan w:val="2"/>
            <w:vMerge w:val="continue"/>
            <w:vAlign w:val="center"/>
          </w:tcPr>
          <w:p>
            <w:pPr>
              <w:jc w:val="center"/>
              <w:rPr>
                <w:rFonts w:ascii="仿宋" w:hAnsi="仿宋"/>
                <w:b/>
                <w:bCs/>
                <w:color w:val="auto"/>
              </w:rPr>
            </w:pPr>
          </w:p>
        </w:tc>
        <w:tc>
          <w:tcPr>
            <w:tcW w:w="1418" w:type="dxa"/>
            <w:vAlign w:val="center"/>
          </w:tcPr>
          <w:p>
            <w:pPr>
              <w:jc w:val="center"/>
              <w:rPr>
                <w:rFonts w:ascii="仿宋" w:hAnsi="仿宋"/>
                <w:b/>
                <w:bCs/>
                <w:color w:val="auto"/>
              </w:rPr>
            </w:pPr>
            <w:r>
              <w:rPr>
                <w:rFonts w:ascii="仿宋" w:hAnsi="仿宋"/>
                <w:b/>
                <w:bCs/>
                <w:color w:val="auto"/>
              </w:rPr>
              <w:t>账号</w:t>
            </w:r>
          </w:p>
        </w:tc>
        <w:tc>
          <w:tcPr>
            <w:tcW w:w="3544" w:type="dxa"/>
            <w:vAlign w:val="center"/>
          </w:tcPr>
          <w:p>
            <w:pPr>
              <w:spacing w:line="400" w:lineRule="exact"/>
              <w:jc w:val="center"/>
              <w:rPr>
                <w:rFonts w:ascii="仿宋" w:hAnsi="仿宋"/>
                <w:b/>
                <w:color w:val="auto"/>
              </w:rPr>
            </w:pPr>
            <w:r>
              <w:rPr>
                <w:rFonts w:ascii="仿宋" w:hAnsi="仿宋"/>
                <w:b/>
                <w:color w:val="auto"/>
              </w:rPr>
              <w:t>2308415109022107973</w:t>
            </w:r>
          </w:p>
        </w:tc>
        <w:tc>
          <w:tcPr>
            <w:tcW w:w="3543" w:type="dxa"/>
            <w:gridSpan w:val="2"/>
            <w:vMerge w:val="continue"/>
            <w:vAlign w:val="center"/>
          </w:tcPr>
          <w:p>
            <w:pPr>
              <w:jc w:val="center"/>
              <w:rPr>
                <w:rFonts w:ascii="仿宋" w:hAnsi="仿宋"/>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1131" w:hRule="exact"/>
        </w:trPr>
        <w:tc>
          <w:tcPr>
            <w:tcW w:w="675" w:type="dxa"/>
            <w:gridSpan w:val="2"/>
            <w:vMerge w:val="restart"/>
            <w:vAlign w:val="center"/>
          </w:tcPr>
          <w:p>
            <w:pPr>
              <w:jc w:val="center"/>
              <w:rPr>
                <w:rFonts w:ascii="仿宋" w:hAnsi="仿宋"/>
                <w:b/>
                <w:bCs/>
                <w:color w:val="auto"/>
              </w:rPr>
            </w:pPr>
            <w:r>
              <w:rPr>
                <w:rFonts w:ascii="仿宋" w:hAnsi="仿宋"/>
                <w:b/>
                <w:bCs/>
                <w:color w:val="auto"/>
              </w:rPr>
              <w:t>乙方</w:t>
            </w:r>
          </w:p>
        </w:tc>
        <w:tc>
          <w:tcPr>
            <w:tcW w:w="1418" w:type="dxa"/>
            <w:vAlign w:val="center"/>
          </w:tcPr>
          <w:p>
            <w:pPr>
              <w:jc w:val="center"/>
              <w:rPr>
                <w:rFonts w:ascii="仿宋" w:hAnsi="仿宋"/>
                <w:b/>
                <w:bCs/>
                <w:color w:val="auto"/>
              </w:rPr>
            </w:pPr>
            <w:r>
              <w:rPr>
                <w:rFonts w:ascii="仿宋" w:hAnsi="仿宋"/>
                <w:b/>
                <w:bCs/>
                <w:color w:val="auto"/>
              </w:rPr>
              <w:t>单位名称</w:t>
            </w:r>
          </w:p>
        </w:tc>
        <w:tc>
          <w:tcPr>
            <w:tcW w:w="3544" w:type="dxa"/>
            <w:vAlign w:val="center"/>
          </w:tcPr>
          <w:p>
            <w:pPr>
              <w:spacing w:line="400" w:lineRule="exact"/>
              <w:jc w:val="center"/>
              <w:rPr>
                <w:rFonts w:ascii="仿宋" w:hAnsi="仿宋"/>
                <w:b/>
                <w:color w:val="auto"/>
              </w:rPr>
            </w:pPr>
          </w:p>
        </w:tc>
        <w:tc>
          <w:tcPr>
            <w:tcW w:w="1665" w:type="dxa"/>
            <w:vAlign w:val="center"/>
          </w:tcPr>
          <w:p>
            <w:pPr>
              <w:spacing w:line="360" w:lineRule="exact"/>
              <w:jc w:val="center"/>
              <w:rPr>
                <w:rFonts w:ascii="仿宋" w:hAnsi="仿宋"/>
                <w:b/>
                <w:bCs/>
                <w:color w:val="auto"/>
              </w:rPr>
            </w:pPr>
            <w:r>
              <w:rPr>
                <w:rFonts w:ascii="仿宋" w:hAnsi="仿宋"/>
                <w:b/>
                <w:bCs/>
                <w:color w:val="auto"/>
              </w:rPr>
              <w:t>法定代表人(或委托代理人)</w:t>
            </w:r>
          </w:p>
        </w:tc>
        <w:tc>
          <w:tcPr>
            <w:tcW w:w="1878" w:type="dxa"/>
            <w:vAlign w:val="center"/>
          </w:tcPr>
          <w:p>
            <w:pPr>
              <w:spacing w:line="400" w:lineRule="exact"/>
              <w:jc w:val="left"/>
              <w:rPr>
                <w:rFonts w:ascii="仿宋" w:hAnsi="仿宋"/>
                <w:b/>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708" w:hRule="exact"/>
        </w:trPr>
        <w:tc>
          <w:tcPr>
            <w:tcW w:w="675" w:type="dxa"/>
            <w:gridSpan w:val="2"/>
            <w:vMerge w:val="continue"/>
            <w:vAlign w:val="center"/>
          </w:tcPr>
          <w:p>
            <w:pPr>
              <w:jc w:val="center"/>
              <w:rPr>
                <w:rFonts w:ascii="仿宋" w:hAnsi="仿宋"/>
                <w:b/>
                <w:bCs/>
                <w:color w:val="auto"/>
              </w:rPr>
            </w:pPr>
          </w:p>
        </w:tc>
        <w:tc>
          <w:tcPr>
            <w:tcW w:w="1418" w:type="dxa"/>
            <w:vAlign w:val="center"/>
          </w:tcPr>
          <w:p>
            <w:pPr>
              <w:jc w:val="center"/>
              <w:rPr>
                <w:rFonts w:ascii="仿宋" w:hAnsi="仿宋"/>
                <w:b/>
                <w:bCs/>
                <w:color w:val="auto"/>
              </w:rPr>
            </w:pPr>
            <w:r>
              <w:rPr>
                <w:rFonts w:ascii="仿宋" w:hAnsi="仿宋"/>
                <w:b/>
                <w:bCs/>
                <w:color w:val="auto"/>
              </w:rPr>
              <w:t>单位地址</w:t>
            </w:r>
          </w:p>
        </w:tc>
        <w:tc>
          <w:tcPr>
            <w:tcW w:w="3544" w:type="dxa"/>
            <w:vAlign w:val="center"/>
          </w:tcPr>
          <w:p>
            <w:pPr>
              <w:spacing w:line="400" w:lineRule="exact"/>
              <w:jc w:val="center"/>
              <w:rPr>
                <w:rFonts w:ascii="仿宋" w:hAnsi="仿宋"/>
                <w:b/>
                <w:color w:val="auto"/>
              </w:rPr>
            </w:pPr>
          </w:p>
        </w:tc>
        <w:tc>
          <w:tcPr>
            <w:tcW w:w="1665" w:type="dxa"/>
            <w:vAlign w:val="center"/>
          </w:tcPr>
          <w:p>
            <w:pPr>
              <w:jc w:val="center"/>
              <w:rPr>
                <w:rFonts w:ascii="仿宋" w:hAnsi="仿宋"/>
                <w:b/>
                <w:bCs/>
                <w:color w:val="auto"/>
              </w:rPr>
            </w:pPr>
            <w:r>
              <w:rPr>
                <w:rFonts w:ascii="仿宋" w:hAnsi="仿宋"/>
                <w:b/>
                <w:bCs/>
                <w:color w:val="auto"/>
              </w:rPr>
              <w:t>邮政编码</w:t>
            </w:r>
          </w:p>
        </w:tc>
        <w:tc>
          <w:tcPr>
            <w:tcW w:w="1878" w:type="dxa"/>
            <w:vAlign w:val="center"/>
          </w:tcPr>
          <w:p>
            <w:pPr>
              <w:spacing w:line="400" w:lineRule="exact"/>
              <w:jc w:val="left"/>
              <w:rPr>
                <w:rFonts w:ascii="仿宋" w:hAnsi="仿宋"/>
                <w:b/>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851" w:hRule="exact"/>
        </w:trPr>
        <w:tc>
          <w:tcPr>
            <w:tcW w:w="675" w:type="dxa"/>
            <w:gridSpan w:val="2"/>
            <w:vMerge w:val="continue"/>
            <w:vAlign w:val="center"/>
          </w:tcPr>
          <w:p>
            <w:pPr>
              <w:jc w:val="center"/>
              <w:rPr>
                <w:rFonts w:ascii="仿宋" w:hAnsi="仿宋"/>
                <w:b/>
                <w:bCs/>
                <w:color w:val="auto"/>
              </w:rPr>
            </w:pPr>
          </w:p>
        </w:tc>
        <w:tc>
          <w:tcPr>
            <w:tcW w:w="1418" w:type="dxa"/>
            <w:vAlign w:val="center"/>
          </w:tcPr>
          <w:p>
            <w:pPr>
              <w:jc w:val="center"/>
              <w:rPr>
                <w:rFonts w:ascii="仿宋" w:hAnsi="仿宋"/>
                <w:b/>
                <w:bCs/>
                <w:color w:val="auto"/>
              </w:rPr>
            </w:pPr>
            <w:r>
              <w:rPr>
                <w:rFonts w:ascii="仿宋" w:hAnsi="仿宋"/>
                <w:b/>
                <w:bCs/>
                <w:color w:val="auto"/>
              </w:rPr>
              <w:t>通讯地址</w:t>
            </w:r>
          </w:p>
        </w:tc>
        <w:tc>
          <w:tcPr>
            <w:tcW w:w="3544" w:type="dxa"/>
            <w:vAlign w:val="center"/>
          </w:tcPr>
          <w:p>
            <w:pPr>
              <w:spacing w:line="400" w:lineRule="exact"/>
              <w:jc w:val="center"/>
              <w:rPr>
                <w:rFonts w:ascii="仿宋" w:hAnsi="仿宋"/>
                <w:b/>
                <w:color w:val="auto"/>
              </w:rPr>
            </w:pPr>
          </w:p>
        </w:tc>
        <w:tc>
          <w:tcPr>
            <w:tcW w:w="1665" w:type="dxa"/>
            <w:vAlign w:val="center"/>
          </w:tcPr>
          <w:p>
            <w:pPr>
              <w:jc w:val="center"/>
              <w:rPr>
                <w:rFonts w:ascii="仿宋" w:hAnsi="仿宋"/>
                <w:b/>
                <w:bCs/>
                <w:color w:val="auto"/>
              </w:rPr>
            </w:pPr>
            <w:r>
              <w:rPr>
                <w:rFonts w:ascii="仿宋" w:hAnsi="仿宋"/>
                <w:b/>
                <w:bCs/>
                <w:color w:val="auto"/>
              </w:rPr>
              <w:t>邮政编码</w:t>
            </w:r>
          </w:p>
        </w:tc>
        <w:tc>
          <w:tcPr>
            <w:tcW w:w="1878" w:type="dxa"/>
            <w:vAlign w:val="center"/>
          </w:tcPr>
          <w:p>
            <w:pPr>
              <w:spacing w:line="400" w:lineRule="exact"/>
              <w:jc w:val="left"/>
              <w:rPr>
                <w:rFonts w:ascii="仿宋" w:hAnsi="仿宋"/>
                <w:b/>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702" w:hRule="exact"/>
        </w:trPr>
        <w:tc>
          <w:tcPr>
            <w:tcW w:w="675" w:type="dxa"/>
            <w:gridSpan w:val="2"/>
            <w:vMerge w:val="continue"/>
            <w:vAlign w:val="center"/>
          </w:tcPr>
          <w:p>
            <w:pPr>
              <w:jc w:val="center"/>
              <w:rPr>
                <w:rFonts w:ascii="仿宋" w:hAnsi="仿宋"/>
                <w:b/>
                <w:bCs/>
                <w:color w:val="auto"/>
              </w:rPr>
            </w:pPr>
          </w:p>
        </w:tc>
        <w:tc>
          <w:tcPr>
            <w:tcW w:w="1418" w:type="dxa"/>
            <w:vAlign w:val="center"/>
          </w:tcPr>
          <w:p>
            <w:pPr>
              <w:jc w:val="center"/>
              <w:rPr>
                <w:rFonts w:ascii="仿宋" w:hAnsi="仿宋"/>
                <w:b/>
                <w:bCs/>
                <w:color w:val="auto"/>
              </w:rPr>
            </w:pPr>
            <w:r>
              <w:rPr>
                <w:rFonts w:ascii="仿宋" w:hAnsi="仿宋"/>
                <w:b/>
                <w:bCs/>
                <w:color w:val="auto"/>
              </w:rPr>
              <w:t>联系人</w:t>
            </w:r>
          </w:p>
        </w:tc>
        <w:tc>
          <w:tcPr>
            <w:tcW w:w="3544" w:type="dxa"/>
            <w:vAlign w:val="center"/>
          </w:tcPr>
          <w:p>
            <w:pPr>
              <w:spacing w:line="400" w:lineRule="exact"/>
              <w:jc w:val="center"/>
              <w:rPr>
                <w:rFonts w:ascii="仿宋" w:hAnsi="仿宋"/>
                <w:b/>
                <w:color w:val="auto"/>
              </w:rPr>
            </w:pPr>
          </w:p>
        </w:tc>
        <w:tc>
          <w:tcPr>
            <w:tcW w:w="1665" w:type="dxa"/>
            <w:vAlign w:val="center"/>
          </w:tcPr>
          <w:p>
            <w:pPr>
              <w:jc w:val="center"/>
              <w:rPr>
                <w:rFonts w:ascii="仿宋" w:hAnsi="仿宋"/>
                <w:b/>
                <w:bCs/>
                <w:color w:val="auto"/>
              </w:rPr>
            </w:pPr>
            <w:r>
              <w:rPr>
                <w:rFonts w:ascii="仿宋" w:hAnsi="仿宋"/>
                <w:b/>
                <w:bCs/>
                <w:color w:val="auto"/>
              </w:rPr>
              <w:t>联系电话</w:t>
            </w:r>
          </w:p>
        </w:tc>
        <w:tc>
          <w:tcPr>
            <w:tcW w:w="1878" w:type="dxa"/>
            <w:vAlign w:val="center"/>
          </w:tcPr>
          <w:p>
            <w:pPr>
              <w:spacing w:line="400" w:lineRule="exact"/>
              <w:jc w:val="left"/>
              <w:rPr>
                <w:rFonts w:ascii="仿宋" w:hAnsi="仿宋"/>
                <w:b/>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851" w:hRule="exact"/>
        </w:trPr>
        <w:tc>
          <w:tcPr>
            <w:tcW w:w="675" w:type="dxa"/>
            <w:gridSpan w:val="2"/>
            <w:vMerge w:val="continue"/>
            <w:vAlign w:val="center"/>
          </w:tcPr>
          <w:p>
            <w:pPr>
              <w:jc w:val="center"/>
              <w:rPr>
                <w:rFonts w:ascii="仿宋" w:hAnsi="仿宋"/>
                <w:b/>
                <w:bCs/>
                <w:color w:val="auto"/>
              </w:rPr>
            </w:pPr>
          </w:p>
        </w:tc>
        <w:tc>
          <w:tcPr>
            <w:tcW w:w="1418" w:type="dxa"/>
            <w:vAlign w:val="center"/>
          </w:tcPr>
          <w:p>
            <w:pPr>
              <w:spacing w:line="360" w:lineRule="exact"/>
              <w:jc w:val="center"/>
              <w:rPr>
                <w:rFonts w:ascii="仿宋" w:hAnsi="仿宋"/>
                <w:b/>
                <w:bCs/>
                <w:color w:val="auto"/>
              </w:rPr>
            </w:pPr>
            <w:r>
              <w:rPr>
                <w:rFonts w:ascii="仿宋" w:hAnsi="仿宋"/>
                <w:b/>
                <w:bCs/>
                <w:color w:val="auto"/>
              </w:rPr>
              <w:t>纳税人</w:t>
            </w:r>
          </w:p>
          <w:p>
            <w:pPr>
              <w:spacing w:line="360" w:lineRule="exact"/>
              <w:jc w:val="center"/>
              <w:rPr>
                <w:rFonts w:ascii="仿宋" w:hAnsi="仿宋"/>
                <w:b/>
                <w:bCs/>
                <w:color w:val="auto"/>
              </w:rPr>
            </w:pPr>
            <w:r>
              <w:rPr>
                <w:rFonts w:ascii="仿宋" w:hAnsi="仿宋"/>
                <w:b/>
                <w:bCs/>
                <w:color w:val="auto"/>
              </w:rPr>
              <w:t>识别号</w:t>
            </w:r>
          </w:p>
        </w:tc>
        <w:tc>
          <w:tcPr>
            <w:tcW w:w="3544" w:type="dxa"/>
            <w:vAlign w:val="center"/>
          </w:tcPr>
          <w:p>
            <w:pPr>
              <w:spacing w:line="400" w:lineRule="exact"/>
              <w:jc w:val="center"/>
              <w:rPr>
                <w:rFonts w:ascii="仿宋" w:hAnsi="仿宋"/>
                <w:b/>
                <w:color w:val="auto"/>
              </w:rPr>
            </w:pPr>
          </w:p>
        </w:tc>
        <w:tc>
          <w:tcPr>
            <w:tcW w:w="3543" w:type="dxa"/>
            <w:gridSpan w:val="2"/>
            <w:vMerge w:val="restart"/>
            <w:vAlign w:val="center"/>
          </w:tcPr>
          <w:p>
            <w:pPr>
              <w:jc w:val="center"/>
              <w:rPr>
                <w:rFonts w:ascii="仿宋" w:hAnsi="仿宋"/>
                <w:b/>
                <w:bCs/>
                <w:color w:val="auto"/>
              </w:rPr>
            </w:pPr>
            <w:r>
              <w:rPr>
                <w:rFonts w:ascii="仿宋" w:hAnsi="仿宋"/>
                <w:b/>
                <w:bCs/>
                <w:color w:val="auto"/>
              </w:rPr>
              <w:t>(单位公章或合同专用章)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851" w:hRule="exact"/>
        </w:trPr>
        <w:tc>
          <w:tcPr>
            <w:tcW w:w="675" w:type="dxa"/>
            <w:gridSpan w:val="2"/>
            <w:vMerge w:val="continue"/>
            <w:vAlign w:val="center"/>
          </w:tcPr>
          <w:p>
            <w:pPr>
              <w:jc w:val="center"/>
              <w:rPr>
                <w:rFonts w:ascii="仿宋" w:hAnsi="仿宋"/>
                <w:b/>
                <w:bCs/>
                <w:color w:val="auto"/>
              </w:rPr>
            </w:pPr>
          </w:p>
        </w:tc>
        <w:tc>
          <w:tcPr>
            <w:tcW w:w="1418" w:type="dxa"/>
            <w:vAlign w:val="center"/>
          </w:tcPr>
          <w:p>
            <w:pPr>
              <w:jc w:val="center"/>
              <w:rPr>
                <w:rFonts w:ascii="仿宋" w:hAnsi="仿宋"/>
                <w:b/>
                <w:bCs/>
                <w:color w:val="auto"/>
              </w:rPr>
            </w:pPr>
            <w:r>
              <w:rPr>
                <w:rFonts w:ascii="仿宋" w:hAnsi="仿宋"/>
                <w:b/>
                <w:bCs/>
                <w:color w:val="auto"/>
              </w:rPr>
              <w:t>开户行</w:t>
            </w:r>
          </w:p>
        </w:tc>
        <w:tc>
          <w:tcPr>
            <w:tcW w:w="3544" w:type="dxa"/>
            <w:vAlign w:val="center"/>
          </w:tcPr>
          <w:p>
            <w:pPr>
              <w:spacing w:line="400" w:lineRule="exact"/>
              <w:jc w:val="center"/>
              <w:rPr>
                <w:rFonts w:ascii="仿宋" w:hAnsi="仿宋"/>
                <w:b/>
                <w:color w:val="auto"/>
              </w:rPr>
            </w:pPr>
          </w:p>
        </w:tc>
        <w:tc>
          <w:tcPr>
            <w:tcW w:w="3543" w:type="dxa"/>
            <w:gridSpan w:val="2"/>
            <w:vMerge w:val="continue"/>
            <w:vAlign w:val="bottom"/>
          </w:tcPr>
          <w:p>
            <w:pPr>
              <w:jc w:val="center"/>
              <w:rPr>
                <w:rFonts w:ascii="仿宋" w:hAnsi="仿宋"/>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851" w:hRule="exact"/>
        </w:trPr>
        <w:tc>
          <w:tcPr>
            <w:tcW w:w="675" w:type="dxa"/>
            <w:gridSpan w:val="2"/>
            <w:vMerge w:val="continue"/>
            <w:vAlign w:val="center"/>
          </w:tcPr>
          <w:p>
            <w:pPr>
              <w:jc w:val="center"/>
              <w:rPr>
                <w:rFonts w:ascii="仿宋" w:hAnsi="仿宋"/>
                <w:b/>
                <w:bCs/>
                <w:color w:val="auto"/>
              </w:rPr>
            </w:pPr>
          </w:p>
        </w:tc>
        <w:tc>
          <w:tcPr>
            <w:tcW w:w="1418" w:type="dxa"/>
            <w:vAlign w:val="center"/>
          </w:tcPr>
          <w:p>
            <w:pPr>
              <w:jc w:val="center"/>
              <w:rPr>
                <w:rFonts w:ascii="仿宋" w:hAnsi="仿宋"/>
                <w:b/>
                <w:bCs/>
                <w:color w:val="auto"/>
              </w:rPr>
            </w:pPr>
            <w:r>
              <w:rPr>
                <w:rFonts w:ascii="仿宋" w:hAnsi="仿宋"/>
                <w:b/>
                <w:bCs/>
                <w:color w:val="auto"/>
              </w:rPr>
              <w:t>开户名称</w:t>
            </w:r>
          </w:p>
        </w:tc>
        <w:tc>
          <w:tcPr>
            <w:tcW w:w="3544" w:type="dxa"/>
            <w:vAlign w:val="center"/>
          </w:tcPr>
          <w:p>
            <w:pPr>
              <w:spacing w:line="400" w:lineRule="exact"/>
              <w:jc w:val="center"/>
              <w:rPr>
                <w:rFonts w:ascii="仿宋" w:hAnsi="仿宋"/>
                <w:b/>
                <w:color w:val="auto"/>
              </w:rPr>
            </w:pPr>
          </w:p>
        </w:tc>
        <w:tc>
          <w:tcPr>
            <w:tcW w:w="3543" w:type="dxa"/>
            <w:gridSpan w:val="2"/>
            <w:vMerge w:val="continue"/>
            <w:vAlign w:val="center"/>
          </w:tcPr>
          <w:p>
            <w:pPr>
              <w:jc w:val="center"/>
              <w:rPr>
                <w:rFonts w:ascii="仿宋" w:hAnsi="仿宋"/>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2" w:type="dxa"/>
          <w:trHeight w:val="719" w:hRule="exact"/>
        </w:trPr>
        <w:tc>
          <w:tcPr>
            <w:tcW w:w="675" w:type="dxa"/>
            <w:gridSpan w:val="2"/>
            <w:vMerge w:val="continue"/>
            <w:vAlign w:val="center"/>
          </w:tcPr>
          <w:p>
            <w:pPr>
              <w:jc w:val="center"/>
              <w:rPr>
                <w:rFonts w:ascii="仿宋" w:hAnsi="仿宋"/>
                <w:b/>
                <w:bCs/>
                <w:color w:val="auto"/>
              </w:rPr>
            </w:pPr>
          </w:p>
        </w:tc>
        <w:tc>
          <w:tcPr>
            <w:tcW w:w="1418" w:type="dxa"/>
            <w:vAlign w:val="center"/>
          </w:tcPr>
          <w:p>
            <w:pPr>
              <w:jc w:val="center"/>
              <w:rPr>
                <w:rFonts w:ascii="仿宋" w:hAnsi="仿宋"/>
                <w:b/>
                <w:bCs/>
                <w:color w:val="auto"/>
              </w:rPr>
            </w:pPr>
            <w:r>
              <w:rPr>
                <w:rFonts w:ascii="仿宋" w:hAnsi="仿宋"/>
                <w:b/>
                <w:bCs/>
                <w:color w:val="auto"/>
              </w:rPr>
              <w:t>账号</w:t>
            </w:r>
          </w:p>
        </w:tc>
        <w:tc>
          <w:tcPr>
            <w:tcW w:w="3544" w:type="dxa"/>
            <w:vAlign w:val="center"/>
          </w:tcPr>
          <w:p>
            <w:pPr>
              <w:spacing w:line="400" w:lineRule="exact"/>
              <w:jc w:val="center"/>
              <w:rPr>
                <w:rFonts w:ascii="仿宋" w:hAnsi="仿宋"/>
                <w:b/>
                <w:color w:val="auto"/>
              </w:rPr>
            </w:pPr>
          </w:p>
        </w:tc>
        <w:tc>
          <w:tcPr>
            <w:tcW w:w="3543" w:type="dxa"/>
            <w:gridSpan w:val="2"/>
            <w:vMerge w:val="continue"/>
            <w:vAlign w:val="center"/>
          </w:tcPr>
          <w:p>
            <w:pPr>
              <w:jc w:val="center"/>
              <w:rPr>
                <w:rFonts w:ascii="仿宋" w:hAnsi="仿宋"/>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6" w:type="dxa"/>
        </w:trPr>
        <w:tc>
          <w:tcPr>
            <w:tcW w:w="9196" w:type="dxa"/>
            <w:gridSpan w:val="6"/>
          </w:tcPr>
          <w:p>
            <w:pPr>
              <w:adjustRightInd w:val="0"/>
              <w:snapToGrid w:val="0"/>
              <w:spacing w:line="500" w:lineRule="exact"/>
              <w:rPr>
                <w:rFonts w:ascii="仿宋" w:hAnsi="仿宋"/>
                <w:b/>
                <w:color w:val="auto"/>
              </w:rPr>
            </w:pPr>
            <w:r>
              <w:rPr>
                <w:rFonts w:ascii="仿宋" w:hAnsi="仿宋"/>
                <w:b/>
                <w:color w:val="auto"/>
              </w:rPr>
              <w:t>一、合同组成</w:t>
            </w:r>
          </w:p>
          <w:p>
            <w:pPr>
              <w:adjustRightInd w:val="0"/>
              <w:snapToGrid w:val="0"/>
              <w:spacing w:line="500" w:lineRule="exact"/>
              <w:ind w:firstLine="480" w:firstLineChars="200"/>
              <w:rPr>
                <w:rFonts w:ascii="仿宋" w:hAnsi="仿宋"/>
                <w:color w:val="auto"/>
              </w:rPr>
            </w:pPr>
            <w:r>
              <w:rPr>
                <w:rFonts w:ascii="仿宋" w:hAnsi="仿宋"/>
                <w:color w:val="auto"/>
              </w:rPr>
              <w:t>中国工程物理研究院激光聚变研究中心(以下简称甲方)委托</w:t>
            </w:r>
            <w:r>
              <w:rPr>
                <w:rFonts w:ascii="仿宋" w:hAnsi="仿宋"/>
                <w:color w:val="auto"/>
                <w:u w:val="single"/>
              </w:rPr>
              <w:t xml:space="preserve">              </w:t>
            </w:r>
            <w:r>
              <w:rPr>
                <w:rFonts w:ascii="仿宋" w:hAnsi="仿宋"/>
                <w:color w:val="auto"/>
              </w:rPr>
              <w:t>（以下简称乙方）开展</w:t>
            </w:r>
            <w:r>
              <w:rPr>
                <w:rFonts w:hint="eastAsia" w:ascii="仿宋" w:hAnsi="仿宋"/>
                <w:color w:val="auto"/>
                <w:u w:val="single"/>
              </w:rPr>
              <w:t xml:space="preserve"> </w:t>
            </w:r>
            <w:r>
              <w:rPr>
                <w:rFonts w:ascii="仿宋" w:hAnsi="仿宋"/>
                <w:color w:val="auto"/>
                <w:u w:val="single"/>
              </w:rPr>
              <w:t xml:space="preserve">            </w:t>
            </w:r>
            <w:r>
              <w:rPr>
                <w:rFonts w:ascii="仿宋" w:hAnsi="仿宋"/>
                <w:iCs/>
                <w:color w:val="auto"/>
              </w:rPr>
              <w:t>产品研制/科学技术研究/服务/维护)</w:t>
            </w:r>
            <w:r>
              <w:rPr>
                <w:rFonts w:ascii="仿宋" w:hAnsi="仿宋"/>
                <w:color w:val="auto"/>
              </w:rPr>
              <w:t>，本合同由以下文件组成，如有冲突，依照序号顺序从第1项开始优先适用。</w:t>
            </w:r>
          </w:p>
          <w:p>
            <w:pPr>
              <w:adjustRightInd w:val="0"/>
              <w:snapToGrid w:val="0"/>
              <w:spacing w:line="500" w:lineRule="exact"/>
              <w:ind w:firstLine="480" w:firstLineChars="200"/>
              <w:rPr>
                <w:rFonts w:ascii="仿宋" w:hAnsi="仿宋"/>
                <w:color w:val="auto"/>
              </w:rPr>
            </w:pPr>
            <w:r>
              <w:rPr>
                <w:rFonts w:ascii="仿宋" w:hAnsi="仿宋"/>
                <w:color w:val="auto"/>
              </w:rPr>
              <w:t>合同组成文件：</w:t>
            </w:r>
          </w:p>
          <w:p>
            <w:pPr>
              <w:adjustRightInd w:val="0"/>
              <w:snapToGrid w:val="0"/>
              <w:spacing w:line="500" w:lineRule="exact"/>
              <w:rPr>
                <w:rFonts w:ascii="仿宋" w:hAnsi="仿宋"/>
                <w:color w:val="auto"/>
              </w:rPr>
            </w:pPr>
            <w:r>
              <w:rPr>
                <w:rFonts w:ascii="仿宋" w:hAnsi="仿宋"/>
                <w:color w:val="auto"/>
              </w:rPr>
              <w:t>1.</w:t>
            </w:r>
            <w:r>
              <w:rPr>
                <w:rFonts w:ascii="仿宋" w:hAnsi="仿宋"/>
                <w:color w:val="auto"/>
                <w:u w:val="single"/>
              </w:rPr>
              <w:t xml:space="preserve">                </w:t>
            </w:r>
            <w:r>
              <w:rPr>
                <w:rFonts w:ascii="仿宋" w:hAnsi="仿宋"/>
                <w:color w:val="auto"/>
              </w:rPr>
              <w:t>合同；</w:t>
            </w:r>
          </w:p>
          <w:p>
            <w:pPr>
              <w:adjustRightInd w:val="0"/>
              <w:snapToGrid w:val="0"/>
              <w:spacing w:line="500" w:lineRule="exact"/>
              <w:rPr>
                <w:rFonts w:ascii="仿宋" w:hAnsi="仿宋"/>
                <w:color w:val="auto"/>
              </w:rPr>
            </w:pPr>
            <w:r>
              <w:rPr>
                <w:rFonts w:ascii="仿宋" w:hAnsi="仿宋"/>
                <w:color w:val="auto"/>
              </w:rPr>
              <w:t>2.</w:t>
            </w:r>
            <w:r>
              <w:rPr>
                <w:rFonts w:ascii="仿宋" w:hAnsi="仿宋"/>
                <w:color w:val="auto"/>
                <w:u w:val="single"/>
              </w:rPr>
              <w:t xml:space="preserve">                </w:t>
            </w:r>
            <w:r>
              <w:rPr>
                <w:rFonts w:ascii="仿宋" w:hAnsi="仿宋"/>
                <w:color w:val="auto"/>
              </w:rPr>
              <w:t>协议；</w:t>
            </w:r>
          </w:p>
          <w:p>
            <w:pPr>
              <w:adjustRightInd w:val="0"/>
              <w:snapToGrid w:val="0"/>
              <w:spacing w:line="500" w:lineRule="exact"/>
              <w:rPr>
                <w:rFonts w:ascii="仿宋" w:hAnsi="仿宋"/>
                <w:color w:val="auto"/>
              </w:rPr>
            </w:pPr>
            <w:r>
              <w:rPr>
                <w:rFonts w:ascii="仿宋" w:hAnsi="仿宋"/>
                <w:color w:val="auto"/>
              </w:rPr>
              <w:t>3.</w:t>
            </w:r>
            <w:r>
              <w:rPr>
                <w:rFonts w:ascii="仿宋" w:hAnsi="仿宋"/>
                <w:color w:val="auto"/>
                <w:u w:val="single"/>
              </w:rPr>
              <w:t xml:space="preserve">                </w:t>
            </w:r>
            <w:r>
              <w:rPr>
                <w:rFonts w:ascii="仿宋" w:hAnsi="仿宋"/>
                <w:color w:val="auto"/>
              </w:rPr>
              <w:t>验收规范；</w:t>
            </w:r>
          </w:p>
          <w:p>
            <w:pPr>
              <w:adjustRightInd w:val="0"/>
              <w:snapToGrid w:val="0"/>
              <w:spacing w:line="500" w:lineRule="exact"/>
              <w:rPr>
                <w:rFonts w:ascii="仿宋" w:hAnsi="仿宋"/>
                <w:color w:val="auto"/>
              </w:rPr>
            </w:pPr>
            <w:r>
              <w:rPr>
                <w:rFonts w:ascii="仿宋" w:hAnsi="仿宋"/>
                <w:color w:val="auto"/>
              </w:rPr>
              <w:t>4.</w:t>
            </w:r>
            <w:r>
              <w:rPr>
                <w:rFonts w:ascii="仿宋" w:hAnsi="仿宋"/>
                <w:color w:val="auto"/>
                <w:u w:val="single"/>
              </w:rPr>
              <w:t xml:space="preserve">                </w:t>
            </w:r>
            <w:r>
              <w:rPr>
                <w:rFonts w:ascii="仿宋" w:hAnsi="仿宋"/>
                <w:color w:val="auto"/>
              </w:rPr>
              <w:t>价格构成表；</w:t>
            </w:r>
          </w:p>
          <w:p>
            <w:pPr>
              <w:adjustRightInd w:val="0"/>
              <w:snapToGrid w:val="0"/>
              <w:spacing w:line="500" w:lineRule="exact"/>
              <w:rPr>
                <w:rFonts w:ascii="仿宋" w:hAnsi="仿宋"/>
                <w:color w:val="auto"/>
              </w:rPr>
            </w:pPr>
            <w:r>
              <w:rPr>
                <w:rFonts w:ascii="仿宋" w:hAnsi="仿宋"/>
                <w:color w:val="auto"/>
              </w:rPr>
              <w:t>5.</w:t>
            </w:r>
            <w:r>
              <w:rPr>
                <w:rFonts w:ascii="仿宋" w:hAnsi="仿宋"/>
                <w:color w:val="auto"/>
                <w:u w:val="single"/>
              </w:rPr>
              <w:t xml:space="preserve">                </w:t>
            </w:r>
            <w:r>
              <w:rPr>
                <w:rFonts w:ascii="仿宋" w:hAnsi="仿宋"/>
                <w:color w:val="auto"/>
              </w:rPr>
              <w:t>项目安全生产及保卫保密管理协议书。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6" w:type="dxa"/>
        </w:trPr>
        <w:tc>
          <w:tcPr>
            <w:tcW w:w="9196" w:type="dxa"/>
            <w:gridSpan w:val="6"/>
          </w:tcPr>
          <w:p>
            <w:pPr>
              <w:adjustRightInd w:val="0"/>
              <w:snapToGrid w:val="0"/>
              <w:spacing w:line="500" w:lineRule="exact"/>
              <w:jc w:val="left"/>
              <w:rPr>
                <w:rFonts w:ascii="仿宋" w:hAnsi="仿宋"/>
                <w:b/>
                <w:color w:val="auto"/>
              </w:rPr>
            </w:pPr>
            <w:r>
              <w:rPr>
                <w:rFonts w:ascii="仿宋" w:hAnsi="仿宋"/>
                <w:b/>
                <w:color w:val="auto"/>
              </w:rPr>
              <w:t>二、合同标的</w:t>
            </w:r>
          </w:p>
          <w:p>
            <w:pPr>
              <w:adjustRightInd w:val="0"/>
              <w:snapToGrid w:val="0"/>
              <w:spacing w:line="500" w:lineRule="exact"/>
              <w:jc w:val="left"/>
              <w:rPr>
                <w:rFonts w:ascii="仿宋" w:hAnsi="仿宋"/>
                <w:b/>
                <w:color w:val="auto"/>
              </w:rPr>
            </w:pPr>
            <w:r>
              <w:rPr>
                <w:rFonts w:ascii="仿宋" w:hAnsi="仿宋"/>
                <w:b/>
                <w:color w:val="auto"/>
              </w:rPr>
              <w:t>1.技术要求</w:t>
            </w:r>
          </w:p>
          <w:p>
            <w:pPr>
              <w:adjustRightInd w:val="0"/>
              <w:snapToGrid w:val="0"/>
              <w:spacing w:line="500" w:lineRule="exact"/>
              <w:ind w:firstLine="480" w:firstLineChars="200"/>
              <w:jc w:val="left"/>
              <w:rPr>
                <w:rFonts w:ascii="仿宋" w:hAnsi="仿宋"/>
                <w:color w:val="auto"/>
              </w:rPr>
            </w:pPr>
            <w:r>
              <w:rPr>
                <w:rFonts w:ascii="仿宋" w:hAnsi="仿宋"/>
                <w:color w:val="auto"/>
              </w:rPr>
              <w:t>详见附件技术要求。</w:t>
            </w:r>
          </w:p>
          <w:p>
            <w:pPr>
              <w:spacing w:line="500" w:lineRule="exact"/>
              <w:jc w:val="left"/>
              <w:rPr>
                <w:rFonts w:ascii="仿宋" w:hAnsi="仿宋"/>
                <w:b/>
                <w:color w:val="auto"/>
              </w:rPr>
            </w:pPr>
            <w:r>
              <w:rPr>
                <w:rFonts w:ascii="仿宋" w:hAnsi="仿宋"/>
                <w:b/>
                <w:color w:val="auto"/>
              </w:rPr>
              <w:t>2.交付物和数量</w:t>
            </w:r>
          </w:p>
          <w:p>
            <w:pPr>
              <w:adjustRightInd w:val="0"/>
              <w:snapToGrid w:val="0"/>
              <w:spacing w:line="500" w:lineRule="exact"/>
              <w:ind w:firstLine="480" w:firstLineChars="200"/>
              <w:jc w:val="left"/>
              <w:rPr>
                <w:rFonts w:ascii="仿宋" w:hAnsi="仿宋"/>
                <w:color w:val="auto"/>
              </w:rPr>
            </w:pPr>
            <w:r>
              <w:rPr>
                <w:rFonts w:ascii="仿宋" w:hAnsi="仿宋"/>
                <w:color w:val="auto"/>
              </w:rPr>
              <w:t>详见附件技术要求。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6" w:type="dxa"/>
        </w:trPr>
        <w:tc>
          <w:tcPr>
            <w:tcW w:w="9196" w:type="dxa"/>
            <w:gridSpan w:val="6"/>
          </w:tcPr>
          <w:p>
            <w:pPr>
              <w:spacing w:line="500" w:lineRule="exact"/>
              <w:rPr>
                <w:rFonts w:ascii="仿宋" w:hAnsi="仿宋"/>
                <w:b/>
                <w:color w:val="auto"/>
              </w:rPr>
            </w:pPr>
            <w:r>
              <w:rPr>
                <w:rFonts w:ascii="仿宋" w:hAnsi="仿宋"/>
                <w:b/>
                <w:color w:val="auto"/>
              </w:rPr>
              <w:t>三、研制进度与交付时间</w:t>
            </w:r>
          </w:p>
          <w:p>
            <w:pPr>
              <w:adjustRightInd w:val="0"/>
              <w:snapToGrid w:val="0"/>
              <w:spacing w:line="500" w:lineRule="exact"/>
              <w:ind w:firstLine="480" w:firstLineChars="200"/>
              <w:rPr>
                <w:rFonts w:ascii="仿宋" w:hAnsi="仿宋"/>
                <w:color w:val="auto"/>
              </w:rPr>
            </w:pPr>
            <w:r>
              <w:rPr>
                <w:rFonts w:ascii="仿宋" w:hAnsi="仿宋"/>
                <w:color w:val="auto"/>
              </w:rPr>
              <w:t>详见附件技术要求。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6" w:type="dxa"/>
        </w:trPr>
        <w:tc>
          <w:tcPr>
            <w:tcW w:w="9196" w:type="dxa"/>
            <w:gridSpan w:val="6"/>
          </w:tcPr>
          <w:p>
            <w:pPr>
              <w:spacing w:line="500" w:lineRule="exact"/>
              <w:rPr>
                <w:rFonts w:ascii="仿宋" w:hAnsi="仿宋"/>
                <w:b/>
                <w:color w:val="auto"/>
              </w:rPr>
            </w:pPr>
            <w:r>
              <w:rPr>
                <w:rFonts w:ascii="仿宋" w:hAnsi="仿宋"/>
                <w:b/>
                <w:color w:val="auto"/>
              </w:rPr>
              <w:t>四、合同金额和支付条件</w:t>
            </w:r>
          </w:p>
          <w:p>
            <w:pPr>
              <w:spacing w:line="500" w:lineRule="exact"/>
              <w:rPr>
                <w:rFonts w:ascii="仿宋" w:hAnsi="仿宋"/>
                <w:color w:val="auto"/>
              </w:rPr>
            </w:pPr>
            <w:r>
              <w:rPr>
                <w:rFonts w:ascii="仿宋" w:hAnsi="仿宋"/>
                <w:color w:val="auto"/>
              </w:rPr>
              <w:t>1.本合同总金额（含税）</w:t>
            </w:r>
          </w:p>
          <w:p>
            <w:pPr>
              <w:spacing w:line="500" w:lineRule="exact"/>
              <w:rPr>
                <w:rFonts w:ascii="仿宋" w:hAnsi="仿宋"/>
                <w:color w:val="auto"/>
              </w:rPr>
            </w:pPr>
            <w:r>
              <w:rPr>
                <w:rFonts w:ascii="仿宋" w:hAnsi="仿宋"/>
                <w:color w:val="auto"/>
              </w:rPr>
              <w:t>本合同金额共计</w:t>
            </w:r>
            <w:r>
              <w:rPr>
                <w:rFonts w:ascii="Calibri" w:hAnsi="Calibri" w:cs="Calibri"/>
                <w:color w:val="auto"/>
              </w:rPr>
              <w:t>¥</w:t>
            </w:r>
            <w:r>
              <w:rPr>
                <w:rFonts w:ascii="仿宋" w:hAnsi="仿宋"/>
                <w:color w:val="auto"/>
                <w:u w:val="single"/>
              </w:rPr>
              <w:t xml:space="preserve">        </w:t>
            </w:r>
            <w:r>
              <w:rPr>
                <w:rFonts w:ascii="仿宋" w:hAnsi="仿宋"/>
                <w:color w:val="auto"/>
              </w:rPr>
              <w:t>元（大写：人民币</w:t>
            </w:r>
            <w:r>
              <w:rPr>
                <w:rFonts w:ascii="仿宋" w:hAnsi="仿宋"/>
                <w:color w:val="auto"/>
                <w:u w:val="single"/>
              </w:rPr>
              <w:t xml:space="preserve">                   </w:t>
            </w:r>
            <w:r>
              <w:rPr>
                <w:rFonts w:ascii="仿宋" w:hAnsi="仿宋"/>
                <w:color w:val="auto"/>
              </w:rPr>
              <w:t>元整）</w:t>
            </w:r>
          </w:p>
          <w:p>
            <w:pPr>
              <w:spacing w:line="500" w:lineRule="exact"/>
              <w:rPr>
                <w:rFonts w:ascii="仿宋" w:hAnsi="仿宋"/>
                <w:color w:val="auto"/>
              </w:rPr>
            </w:pPr>
            <w:r>
              <w:rPr>
                <w:rFonts w:ascii="仿宋" w:hAnsi="仿宋"/>
                <w:color w:val="auto"/>
              </w:rPr>
              <w:t>2.支付进度</w:t>
            </w:r>
          </w:p>
          <w:p>
            <w:pPr>
              <w:spacing w:line="500" w:lineRule="exact"/>
              <w:ind w:firstLine="360" w:firstLineChars="150"/>
              <w:rPr>
                <w:rFonts w:ascii="仿宋" w:hAnsi="仿宋" w:cs="仿宋"/>
                <w:color w:val="auto"/>
              </w:rPr>
            </w:pPr>
            <w:r>
              <w:rPr>
                <w:rFonts w:hint="eastAsia" w:ascii="仿宋" w:hAnsi="仿宋" w:cs="仿宋"/>
                <w:color w:val="auto"/>
              </w:rPr>
              <w:t xml:space="preserve">本合同采取 </w:t>
            </w:r>
            <w:r>
              <w:rPr>
                <w:rFonts w:hint="eastAsia" w:ascii="仿宋" w:hAnsi="仿宋" w:cs="仿宋"/>
                <w:color w:val="auto"/>
                <w:u w:val="single"/>
              </w:rPr>
              <w:t xml:space="preserve"> 一次性  </w:t>
            </w:r>
            <w:r>
              <w:rPr>
                <w:rFonts w:hint="eastAsia" w:ascii="仿宋" w:hAnsi="仿宋" w:cs="仿宋"/>
                <w:color w:val="auto"/>
              </w:rPr>
              <w:t>方式，采用银行转账支付或银行承兑汇票支付，验收合格后20个工作日内，甲方向乙方支付合同100%款项。</w:t>
            </w:r>
          </w:p>
          <w:p>
            <w:pPr>
              <w:spacing w:line="500" w:lineRule="exact"/>
              <w:rPr>
                <w:rFonts w:ascii="仿宋" w:hAnsi="仿宋"/>
                <w:color w:val="auto"/>
              </w:rPr>
            </w:pPr>
            <w:r>
              <w:rPr>
                <w:rFonts w:ascii="仿宋" w:hAnsi="仿宋"/>
                <w:color w:val="auto"/>
              </w:rPr>
              <w:t>3.支付方式：采用银行转账支付或</w:t>
            </w:r>
            <w:r>
              <w:rPr>
                <w:rFonts w:hint="eastAsia" w:ascii="仿宋" w:hAnsi="仿宋"/>
                <w:color w:val="auto"/>
              </w:rPr>
              <w:t>银行承兑</w:t>
            </w:r>
            <w:r>
              <w:rPr>
                <w:rFonts w:ascii="仿宋" w:hAnsi="仿宋"/>
                <w:color w:val="auto"/>
              </w:rPr>
              <w:t>汇票支付。</w:t>
            </w:r>
          </w:p>
          <w:p>
            <w:pPr>
              <w:spacing w:line="500" w:lineRule="exact"/>
              <w:rPr>
                <w:rFonts w:ascii="仿宋" w:hAnsi="仿宋"/>
                <w:color w:val="auto"/>
              </w:rPr>
            </w:pPr>
            <w:r>
              <w:rPr>
                <w:rFonts w:ascii="仿宋" w:hAnsi="仿宋"/>
                <w:color w:val="auto"/>
              </w:rPr>
              <w:t>4.发票：除预付款外，乙方在节点任务完成后，应向甲方开具对应金额的发票，否则甲方有权拒绝支付。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6" w:type="dxa"/>
        </w:trPr>
        <w:tc>
          <w:tcPr>
            <w:tcW w:w="9196" w:type="dxa"/>
            <w:gridSpan w:val="6"/>
          </w:tcPr>
          <w:p>
            <w:pPr>
              <w:spacing w:line="500" w:lineRule="exact"/>
              <w:rPr>
                <w:rFonts w:ascii="仿宋" w:hAnsi="仿宋"/>
                <w:b/>
                <w:color w:val="auto"/>
              </w:rPr>
            </w:pPr>
            <w:r>
              <w:rPr>
                <w:rFonts w:ascii="仿宋" w:hAnsi="仿宋"/>
                <w:b/>
                <w:color w:val="auto"/>
              </w:rPr>
              <w:t>五、交付与验收</w:t>
            </w:r>
          </w:p>
          <w:p>
            <w:pPr>
              <w:spacing w:line="500" w:lineRule="exact"/>
              <w:rPr>
                <w:rFonts w:ascii="仿宋" w:hAnsi="仿宋"/>
                <w:color w:val="auto"/>
              </w:rPr>
            </w:pPr>
            <w:r>
              <w:rPr>
                <w:rFonts w:ascii="仿宋" w:hAnsi="仿宋"/>
                <w:color w:val="auto"/>
              </w:rPr>
              <w:t>1.交付地点</w:t>
            </w:r>
          </w:p>
          <w:p>
            <w:pPr>
              <w:spacing w:line="500" w:lineRule="exact"/>
              <w:rPr>
                <w:rFonts w:ascii="仿宋" w:hAnsi="仿宋"/>
                <w:color w:val="auto"/>
              </w:rPr>
            </w:pPr>
            <w:r>
              <w:rPr>
                <w:rFonts w:ascii="仿宋" w:hAnsi="仿宋"/>
                <w:color w:val="auto"/>
              </w:rPr>
              <w:t xml:space="preserve">    </w:t>
            </w:r>
            <w:r>
              <w:rPr>
                <w:rFonts w:hint="eastAsia" w:ascii="仿宋" w:hAnsi="仿宋"/>
                <w:color w:val="auto"/>
                <w:spacing w:val="-4"/>
              </w:rPr>
              <w:t>成都市银河5</w:t>
            </w:r>
            <w:r>
              <w:rPr>
                <w:rFonts w:ascii="仿宋" w:hAnsi="仿宋"/>
                <w:color w:val="auto"/>
                <w:spacing w:val="-4"/>
              </w:rPr>
              <w:t>96</w:t>
            </w:r>
            <w:r>
              <w:rPr>
                <w:rFonts w:hint="eastAsia" w:ascii="仿宋" w:hAnsi="仿宋"/>
                <w:color w:val="auto"/>
                <w:spacing w:val="-4"/>
              </w:rPr>
              <w:t>。</w:t>
            </w:r>
          </w:p>
          <w:p>
            <w:pPr>
              <w:spacing w:line="500" w:lineRule="exact"/>
              <w:rPr>
                <w:rFonts w:ascii="仿宋" w:hAnsi="仿宋"/>
                <w:color w:val="auto"/>
              </w:rPr>
            </w:pPr>
            <w:r>
              <w:rPr>
                <w:rFonts w:ascii="仿宋" w:hAnsi="仿宋"/>
                <w:color w:val="auto"/>
              </w:rPr>
              <w:t>2.验收方式</w:t>
            </w:r>
          </w:p>
          <w:p>
            <w:pPr>
              <w:spacing w:line="500" w:lineRule="exact"/>
              <w:ind w:firstLine="480" w:firstLineChars="200"/>
              <w:rPr>
                <w:rFonts w:ascii="仿宋" w:hAnsi="仿宋"/>
                <w:color w:val="auto"/>
              </w:rPr>
            </w:pPr>
            <w:r>
              <w:rPr>
                <w:rFonts w:ascii="仿宋" w:hAnsi="仿宋"/>
                <w:color w:val="auto"/>
              </w:rPr>
              <w:t>详见附件技术要求。</w:t>
            </w:r>
          </w:p>
          <w:p>
            <w:pPr>
              <w:spacing w:line="500" w:lineRule="exact"/>
              <w:ind w:firstLine="480" w:firstLineChars="200"/>
              <w:rPr>
                <w:rFonts w:ascii="仿宋" w:hAnsi="仿宋"/>
                <w:color w:val="auto"/>
              </w:rPr>
            </w:pPr>
            <w:r>
              <w:rPr>
                <w:rFonts w:ascii="仿宋" w:hAnsi="仿宋"/>
                <w:color w:val="auto"/>
              </w:rPr>
              <w:t>验收合格的，甲方应当予以签字确认。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6" w:type="dxa"/>
        </w:trPr>
        <w:tc>
          <w:tcPr>
            <w:tcW w:w="9196" w:type="dxa"/>
            <w:gridSpan w:val="6"/>
          </w:tcPr>
          <w:p>
            <w:pPr>
              <w:spacing w:line="500" w:lineRule="exact"/>
              <w:rPr>
                <w:rFonts w:ascii="仿宋" w:hAnsi="仿宋"/>
                <w:b/>
                <w:color w:val="auto"/>
              </w:rPr>
            </w:pPr>
            <w:r>
              <w:rPr>
                <w:rFonts w:ascii="仿宋" w:hAnsi="仿宋"/>
                <w:b/>
                <w:color w:val="auto"/>
              </w:rPr>
              <w:t>六、质量要求</w:t>
            </w:r>
          </w:p>
          <w:p>
            <w:pPr>
              <w:spacing w:line="500" w:lineRule="exact"/>
              <w:rPr>
                <w:rFonts w:ascii="仿宋" w:hAnsi="仿宋"/>
                <w:color w:val="auto"/>
              </w:rPr>
            </w:pPr>
            <w:r>
              <w:rPr>
                <w:rFonts w:ascii="仿宋" w:hAnsi="仿宋"/>
                <w:color w:val="auto"/>
              </w:rPr>
              <w:t>1.乙方应保证所供产品及其集成没有工程、材料和工艺上的缺陷；且乙方应保证合同所供产品是全新的、未使用过的。</w:t>
            </w:r>
          </w:p>
          <w:p>
            <w:pPr>
              <w:spacing w:line="500" w:lineRule="exact"/>
              <w:rPr>
                <w:rFonts w:ascii="仿宋" w:hAnsi="仿宋"/>
                <w:color w:val="auto"/>
              </w:rPr>
            </w:pPr>
            <w:r>
              <w:rPr>
                <w:rFonts w:ascii="仿宋" w:hAnsi="仿宋"/>
                <w:color w:val="auto"/>
              </w:rPr>
              <w:t>2.交付产品时，乙方需提供完整有效的检验报告或其他质量证明文件以及符合甲方要求的全套的合同交付文件（明确需交付的套数）。对于交付的测量设备（包括仪表、传感器、探头等）还需提供有资质的第三方计量机构出具的检定证书或校准报告。</w:t>
            </w:r>
          </w:p>
          <w:p>
            <w:pPr>
              <w:spacing w:line="500" w:lineRule="exact"/>
              <w:rPr>
                <w:rFonts w:ascii="仿宋" w:hAnsi="仿宋"/>
                <w:color w:val="auto"/>
              </w:rPr>
            </w:pPr>
            <w:r>
              <w:rPr>
                <w:rFonts w:ascii="仿宋" w:hAnsi="仿宋"/>
                <w:color w:val="auto"/>
              </w:rPr>
              <w:t>3.产品在正常安装调试、使用过程中发现质量问题，甲方应尽快以书面形式向乙方提出，同时向乙方提供合适的机会来处理。乙方收到甲方通知后应在48小时内响应，并安排现场处理；如果乙方收到甲方通知后，没有以合理的速度处理质量问题，甲方可采取必要的补救措施，但其风险和费用将由乙方承担，甲方根据合同规定对乙方行使的其他权利不受影响。（对乙方交付的文件格式、编号、内容有要求的，可以在此详细描述。）</w:t>
            </w:r>
          </w:p>
          <w:p>
            <w:pPr>
              <w:spacing w:line="500" w:lineRule="exact"/>
              <w:rPr>
                <w:rFonts w:ascii="仿宋" w:hAnsi="仿宋"/>
                <w:color w:val="auto"/>
              </w:rPr>
            </w:pPr>
            <w:r>
              <w:rPr>
                <w:rFonts w:ascii="仿宋" w:hAnsi="仿宋"/>
                <w:color w:val="auto"/>
              </w:rPr>
              <w:t>（二）A级、B级外协外包产品的质量要求（根据实际可以细化补充或删减）</w:t>
            </w:r>
          </w:p>
          <w:p>
            <w:pPr>
              <w:spacing w:line="500" w:lineRule="exact"/>
              <w:rPr>
                <w:rFonts w:ascii="仿宋" w:hAnsi="仿宋"/>
                <w:color w:val="auto"/>
              </w:rPr>
            </w:pPr>
            <w:r>
              <w:rPr>
                <w:rFonts w:ascii="仿宋" w:hAnsi="仿宋"/>
                <w:color w:val="auto"/>
              </w:rPr>
              <w:t>1.乙方应按照合同要求邀请甲方参加A、B级外协外包产品的重要节点，包括参加设计评审、工艺评审、产品质量评审、产品检验、试验和首件鉴定等。</w:t>
            </w:r>
          </w:p>
          <w:p>
            <w:pPr>
              <w:spacing w:line="500" w:lineRule="exact"/>
              <w:rPr>
                <w:rFonts w:ascii="仿宋" w:hAnsi="仿宋"/>
                <w:color w:val="auto"/>
              </w:rPr>
            </w:pPr>
            <w:r>
              <w:rPr>
                <w:rFonts w:ascii="仿宋" w:hAnsi="仿宋"/>
                <w:color w:val="auto"/>
              </w:rPr>
              <w:t>2.若外协外包产品涉及关键件、重要件，乙方应根据GJB909-1990《关键件和重要件的质量控制》（或者甲方的要求）进行控制。</w:t>
            </w:r>
          </w:p>
          <w:p>
            <w:pPr>
              <w:spacing w:line="500" w:lineRule="exact"/>
              <w:rPr>
                <w:rFonts w:ascii="仿宋" w:hAnsi="仿宋"/>
                <w:color w:val="auto"/>
              </w:rPr>
            </w:pPr>
            <w:r>
              <w:rPr>
                <w:rFonts w:ascii="仿宋" w:hAnsi="仿宋"/>
                <w:color w:val="auto"/>
              </w:rPr>
              <w:t>3.甲方在下列情形时应对其重要节点进行现场质量监督（监督的方式可以根据实际情况具体规定）：新纳入合格供方名录的供方实施首批外协外包产品生产；涉及关键件、重要件，以及关键或重要特性的外协外包产品；外协外包产品出现质量问题归零后的首批再生产。</w:t>
            </w:r>
          </w:p>
          <w:p>
            <w:pPr>
              <w:spacing w:line="500" w:lineRule="exact"/>
              <w:rPr>
                <w:rFonts w:ascii="仿宋" w:hAnsi="仿宋"/>
                <w:color w:val="auto"/>
              </w:rPr>
            </w:pPr>
            <w:r>
              <w:rPr>
                <w:rFonts w:ascii="仿宋" w:hAnsi="仿宋"/>
                <w:color w:val="auto"/>
              </w:rPr>
              <w:t>4. A、B级外协外包产品实现过程中，涉及特殊过程的，乙方应按照GJB9001C-2017的要去对特殊过程进行控制，甲方应对供方的特殊过程能力确认实施监督，必要时还应监视特殊过程参数的控制情况，确认参数保持稳定、过程受控。</w:t>
            </w:r>
          </w:p>
          <w:p>
            <w:pPr>
              <w:spacing w:line="500" w:lineRule="exact"/>
              <w:rPr>
                <w:rFonts w:ascii="仿宋" w:hAnsi="仿宋"/>
                <w:color w:val="auto"/>
              </w:rPr>
            </w:pPr>
            <w:r>
              <w:rPr>
                <w:rFonts w:ascii="仿宋" w:hAnsi="仿宋"/>
                <w:color w:val="auto"/>
              </w:rPr>
              <w:t>5.在合同实施过程中或甲方验收时发现批量不合格或其他应归零的情况，则乙方应按照甲方的要求进行质量归零，提供归零报告。甲方对归零情况进行督促验证。（甲方可以参与组织归零评审）</w:t>
            </w:r>
          </w:p>
          <w:p>
            <w:pPr>
              <w:spacing w:line="500" w:lineRule="exact"/>
              <w:rPr>
                <w:rFonts w:ascii="仿宋" w:hAnsi="仿宋"/>
                <w:color w:val="auto"/>
              </w:rPr>
            </w:pPr>
            <w:r>
              <w:rPr>
                <w:rFonts w:ascii="仿宋" w:hAnsi="仿宋"/>
                <w:color w:val="auto"/>
              </w:rPr>
              <w:t>6.对A级外协外包产品，乙方应根据甲方的要求（如有具体标准或文件名称可直接写出来）组织开展技术状态管理工作，保证技术状态受控。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6" w:type="dxa"/>
        </w:trPr>
        <w:tc>
          <w:tcPr>
            <w:tcW w:w="9196" w:type="dxa"/>
            <w:gridSpan w:val="6"/>
          </w:tcPr>
          <w:p>
            <w:pPr>
              <w:spacing w:line="500" w:lineRule="exact"/>
              <w:rPr>
                <w:rFonts w:ascii="仿宋" w:hAnsi="仿宋"/>
                <w:b/>
                <w:bCs/>
                <w:color w:val="auto"/>
              </w:rPr>
            </w:pPr>
            <w:r>
              <w:rPr>
                <w:rFonts w:ascii="仿宋" w:hAnsi="仿宋"/>
                <w:b/>
                <w:bCs/>
                <w:color w:val="auto"/>
              </w:rPr>
              <w:t>七、安全要求</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1.甲、乙双方必须严格遵守安全方面国家的现行法律、法规和院所安全规定。</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2.甲、乙双方各自负责己方人员在本项目合作期间的安全责任，如需派遣工作人员到另一方进行相关协作工作，由派遣方承担被派遣人员的安全责任，且在另一方现场开展工作必须遵循相关方的规定。相关方需对现场工作期间的危险源及安全注意事项向派遣方人员进行培训和告知。</w:t>
            </w:r>
          </w:p>
          <w:p>
            <w:pPr>
              <w:spacing w:line="500" w:lineRule="exact"/>
              <w:rPr>
                <w:rFonts w:ascii="仿宋" w:hAnsi="仿宋"/>
                <w:color w:val="auto"/>
              </w:rPr>
            </w:pPr>
            <w:r>
              <w:rPr>
                <w:rFonts w:ascii="仿宋" w:hAnsi="仿宋"/>
                <w:color w:val="auto"/>
              </w:rPr>
              <w:t>3.乙方负责本项目实施及交付过程中的安全责任，并对项目交付后涉及到的安全、环保事项进行技术交底和必要的培训指导。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6" w:type="dxa"/>
        </w:trPr>
        <w:tc>
          <w:tcPr>
            <w:tcW w:w="9196" w:type="dxa"/>
            <w:gridSpan w:val="6"/>
          </w:tcPr>
          <w:p>
            <w:pPr>
              <w:spacing w:line="500" w:lineRule="exact"/>
              <w:rPr>
                <w:rFonts w:ascii="仿宋" w:hAnsi="仿宋"/>
                <w:b/>
                <w:bCs/>
                <w:color w:val="auto"/>
              </w:rPr>
            </w:pPr>
            <w:r>
              <w:rPr>
                <w:rFonts w:ascii="仿宋" w:hAnsi="仿宋"/>
                <w:b/>
                <w:bCs/>
                <w:color w:val="auto"/>
              </w:rPr>
              <w:t>八、保密要求</w:t>
            </w:r>
          </w:p>
          <w:p>
            <w:pPr>
              <w:spacing w:line="500" w:lineRule="exact"/>
              <w:rPr>
                <w:rFonts w:ascii="仿宋" w:hAnsi="仿宋"/>
                <w:color w:val="auto"/>
              </w:rPr>
            </w:pPr>
            <w:r>
              <w:rPr>
                <w:rFonts w:ascii="仿宋" w:hAnsi="仿宋"/>
                <w:color w:val="auto"/>
              </w:rPr>
              <w:t>1. 本项目合同文本密级为：</w:t>
            </w:r>
            <w:r>
              <w:rPr>
                <w:rFonts w:ascii="仿宋" w:hAnsi="仿宋"/>
                <w:color w:val="auto"/>
                <w:u w:val="single"/>
              </w:rPr>
              <w:t>公开</w:t>
            </w:r>
            <w:r>
              <w:rPr>
                <w:rFonts w:ascii="仿宋" w:hAnsi="仿宋"/>
                <w:color w:val="auto"/>
              </w:rPr>
              <w:t>。本项目密级为：</w:t>
            </w:r>
            <w:r>
              <w:rPr>
                <w:rFonts w:ascii="仿宋" w:hAnsi="仿宋"/>
                <w:color w:val="auto"/>
                <w:u w:val="single"/>
              </w:rPr>
              <w:t xml:space="preserve">   </w:t>
            </w:r>
            <w:r>
              <w:rPr>
                <w:rFonts w:ascii="仿宋" w:hAnsi="仿宋"/>
                <w:color w:val="auto"/>
              </w:rPr>
              <w:t>，涉密事项（或涉密信息）为：</w:t>
            </w:r>
            <w:r>
              <w:rPr>
                <w:rFonts w:ascii="仿宋" w:hAnsi="仿宋"/>
                <w:color w:val="auto"/>
                <w:u w:val="single"/>
              </w:rPr>
              <w:t xml:space="preserve">      </w:t>
            </w:r>
            <w:r>
              <w:rPr>
                <w:rFonts w:ascii="仿宋" w:hAnsi="仿宋"/>
                <w:color w:val="auto"/>
              </w:rPr>
              <w:t>，保密期限为</w:t>
            </w:r>
            <w:r>
              <w:rPr>
                <w:rFonts w:ascii="仿宋" w:hAnsi="仿宋"/>
                <w:color w:val="auto"/>
                <w:u w:val="single"/>
              </w:rPr>
              <w:t xml:space="preserve">  </w:t>
            </w:r>
            <w:r>
              <w:rPr>
                <w:rFonts w:ascii="仿宋" w:hAnsi="仿宋"/>
                <w:color w:val="auto"/>
              </w:rPr>
              <w:t>，应严格遵守国家及我院相关保密法律法规要求。</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2.乙方如需进入甲方场所开展工作，应严格遵守国家及院、所相关保密法律法规要求。</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3..乙方作为项目保密的责任主体，对项目的保密负责。如果乙方原因造成泄密或违反国家保密规定的，乙方需要承担相应的责任。</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4.没有甲方事先书面同意，乙方及乙方所有工作人员不得把甲方的技术资料和最终成果以及在签订或履行本合同过程中所接触的所有甲方相关信息提供给第三方。</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5.未经甲方许可，乙方不得通过任何渠道和方式对外披露、发布、宣传与本合同项目相关的任何信息。</w:t>
            </w:r>
          </w:p>
          <w:p>
            <w:pPr>
              <w:adjustRightInd w:val="0"/>
              <w:snapToGrid w:val="0"/>
              <w:spacing w:line="500" w:lineRule="exact"/>
              <w:rPr>
                <w:rFonts w:ascii="仿宋" w:hAnsi="仿宋"/>
                <w:color w:val="auto"/>
              </w:rPr>
            </w:pPr>
            <w:r>
              <w:rPr>
                <w:rFonts w:ascii="仿宋" w:hAnsi="仿宋"/>
                <w:color w:val="auto"/>
              </w:rPr>
              <w:t>6.对于在合同履行过程中所获得或了解的商业秘密，乙方应承担保密义务。未经甲方事先书面许可，乙方不得利用或披露这些信息。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6" w:type="dxa"/>
        </w:trPr>
        <w:tc>
          <w:tcPr>
            <w:tcW w:w="9196" w:type="dxa"/>
            <w:gridSpan w:val="6"/>
          </w:tcPr>
          <w:p>
            <w:pPr>
              <w:spacing w:line="500" w:lineRule="exact"/>
              <w:rPr>
                <w:rFonts w:ascii="仿宋" w:hAnsi="仿宋"/>
                <w:b/>
                <w:bCs/>
                <w:color w:val="auto"/>
              </w:rPr>
            </w:pPr>
            <w:r>
              <w:rPr>
                <w:rFonts w:ascii="仿宋" w:hAnsi="仿宋"/>
                <w:b/>
                <w:bCs/>
                <w:color w:val="auto"/>
              </w:rPr>
              <w:t>九、技术成果的归属</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1.乙方在本项目实施过程中产生的技术成果，归甲乙双方共同所有。</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2.乙方通过本合作项目完成的全套技术资料和图纸的知识产权归甲乙双方共同所有。在本项目中所涉及的乙方已有的专利或其它技术成果，甲方有权在后续工程实施中永久免费使用。</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iCs/>
                <w:color w:val="auto"/>
              </w:rPr>
              <w:t>3.乙方应保证其提供的产品和服务不侵犯第三方知识产权。</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iCs/>
                <w:color w:val="auto"/>
              </w:rPr>
              <w:t>4.甲方利用本项目服务或成果完成的技术成果，归</w:t>
            </w:r>
            <w:r>
              <w:rPr>
                <w:rFonts w:ascii="仿宋" w:hAnsi="仿宋"/>
                <w:color w:val="auto"/>
              </w:rPr>
              <w:t>甲乙双方共同</w:t>
            </w:r>
            <w:r>
              <w:rPr>
                <w:rFonts w:ascii="仿宋" w:hAnsi="仿宋"/>
                <w:iCs/>
                <w:color w:val="auto"/>
              </w:rPr>
              <w:t>所有。</w:t>
            </w:r>
          </w:p>
          <w:p>
            <w:pPr>
              <w:adjustRightInd w:val="0"/>
              <w:snapToGrid w:val="0"/>
              <w:spacing w:line="500" w:lineRule="exact"/>
              <w:rPr>
                <w:rFonts w:ascii="仿宋" w:hAnsi="仿宋"/>
                <w:color w:val="auto"/>
              </w:rPr>
            </w:pPr>
            <w:r>
              <w:rPr>
                <w:rFonts w:ascii="仿宋" w:hAnsi="仿宋"/>
                <w:color w:val="auto"/>
              </w:rPr>
              <w:t>5.若任一方违反双方关于知识产权的约定，另一方有权追究其法律责任。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6" w:type="dxa"/>
        </w:trPr>
        <w:tc>
          <w:tcPr>
            <w:tcW w:w="9196" w:type="dxa"/>
            <w:gridSpan w:val="6"/>
          </w:tcPr>
          <w:p>
            <w:pPr>
              <w:spacing w:line="500" w:lineRule="exact"/>
              <w:rPr>
                <w:rFonts w:ascii="仿宋" w:hAnsi="仿宋"/>
                <w:b/>
                <w:bCs/>
                <w:color w:val="auto"/>
              </w:rPr>
            </w:pPr>
            <w:r>
              <w:rPr>
                <w:rFonts w:ascii="仿宋" w:hAnsi="仿宋"/>
                <w:b/>
                <w:bCs/>
                <w:color w:val="auto"/>
              </w:rPr>
              <w:t>十、售后保证要求</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1.本合同质保期为</w:t>
            </w:r>
            <w:r>
              <w:rPr>
                <w:rFonts w:ascii="仿宋" w:hAnsi="仿宋"/>
                <w:color w:val="auto"/>
                <w:u w:val="single"/>
              </w:rPr>
              <w:t xml:space="preserve">       </w:t>
            </w:r>
            <w:r>
              <w:rPr>
                <w:rFonts w:ascii="仿宋" w:hAnsi="仿宋"/>
                <w:color w:val="auto"/>
              </w:rPr>
              <w:t>，质保期起始时间从验收合格当天起算。</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2.在质保期内，乙方收到甲方通知后应在</w:t>
            </w:r>
            <w:r>
              <w:rPr>
                <w:rFonts w:ascii="仿宋" w:hAnsi="仿宋"/>
                <w:color w:val="auto"/>
                <w:u w:val="single"/>
              </w:rPr>
              <w:t xml:space="preserve">      </w:t>
            </w:r>
            <w:r>
              <w:rPr>
                <w:rFonts w:ascii="仿宋" w:hAnsi="仿宋"/>
                <w:color w:val="auto"/>
              </w:rPr>
              <w:t>小时内响应，并及时根据甲方反馈情况进行处理。</w:t>
            </w:r>
            <w:r>
              <w:rPr>
                <w:rFonts w:hint="eastAsia" w:ascii="仿宋" w:hAnsi="仿宋"/>
                <w:color w:val="auto"/>
              </w:rPr>
              <w:t>若需到场解决，需在</w:t>
            </w:r>
            <w:r>
              <w:rPr>
                <w:rFonts w:hint="eastAsia" w:ascii="仿宋" w:hAnsi="仿宋"/>
                <w:color w:val="auto"/>
                <w:u w:val="single"/>
              </w:rPr>
              <w:t xml:space="preserve">     </w:t>
            </w:r>
            <w:r>
              <w:rPr>
                <w:rFonts w:hint="eastAsia" w:ascii="仿宋" w:hAnsi="仿宋"/>
                <w:color w:val="auto"/>
              </w:rPr>
              <w:t>小时内响应到场</w:t>
            </w:r>
            <w:r>
              <w:rPr>
                <w:rFonts w:hint="eastAsia" w:ascii="仿宋" w:hAnsi="仿宋"/>
                <w:color w:val="auto"/>
                <w:lang w:eastAsia="zh-CN"/>
              </w:rPr>
              <w:t>。</w:t>
            </w:r>
            <w:r>
              <w:rPr>
                <w:rFonts w:ascii="仿宋" w:hAnsi="仿宋"/>
                <w:color w:val="auto"/>
              </w:rPr>
              <w:t>乙方对有质保责任的产品或部件以合理的期限免费维修或更换有缺陷的产品或部件，被修理或更换的产品或部件从乙方至最终目的地的相关费用由乙方承担。</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3.如果乙方收到通知后在合同规定的时间内没有以合理的速度弥补缺陷，甲方可采取必要的补救措施，但其风险和费用将由乙方承担，甲方根据合同规定对乙方行使的其他权力不受影响。</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4.质保期内，出现属于乙方原因的相关问题，乙方应及时按照甲方要求对工程设计进行更改，相关费用由乙方承担。</w:t>
            </w:r>
          </w:p>
          <w:p>
            <w:pPr>
              <w:adjustRightInd w:val="0"/>
              <w:snapToGrid w:val="0"/>
              <w:spacing w:line="500" w:lineRule="exact"/>
              <w:rPr>
                <w:rFonts w:ascii="仿宋" w:hAnsi="仿宋"/>
                <w:color w:val="auto"/>
              </w:rPr>
            </w:pPr>
            <w:r>
              <w:rPr>
                <w:rFonts w:ascii="仿宋" w:hAnsi="仿宋"/>
                <w:color w:val="auto"/>
              </w:rPr>
              <w:t>5.乙方应保证所供产品和其任何组成部分，在正常使用和保养下，在其使用寿命期内，均能够满足合同及其附件规定的性能、可靠性。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6" w:type="dxa"/>
        </w:trPr>
        <w:tc>
          <w:tcPr>
            <w:tcW w:w="9196" w:type="dxa"/>
            <w:gridSpan w:val="6"/>
          </w:tcPr>
          <w:p>
            <w:pPr>
              <w:spacing w:line="500" w:lineRule="exact"/>
              <w:rPr>
                <w:rFonts w:ascii="仿宋" w:hAnsi="仿宋"/>
                <w:b/>
                <w:bCs/>
                <w:color w:val="auto"/>
              </w:rPr>
            </w:pPr>
            <w:r>
              <w:rPr>
                <w:rFonts w:ascii="仿宋" w:hAnsi="仿宋"/>
                <w:b/>
                <w:bCs/>
                <w:color w:val="auto"/>
              </w:rPr>
              <w:t>十一、甲方的权利与义务</w:t>
            </w:r>
          </w:p>
          <w:p>
            <w:pPr>
              <w:pStyle w:val="60"/>
              <w:autoSpaceDE w:val="0"/>
              <w:autoSpaceDN w:val="0"/>
              <w:adjustRightInd w:val="0"/>
              <w:spacing w:line="500" w:lineRule="exact"/>
              <w:ind w:firstLine="0" w:firstLineChars="0"/>
              <w:jc w:val="left"/>
              <w:rPr>
                <w:rFonts w:ascii="仿宋" w:hAnsi="仿宋"/>
                <w:bCs/>
                <w:color w:val="auto"/>
              </w:rPr>
            </w:pPr>
            <w:r>
              <w:rPr>
                <w:rFonts w:ascii="仿宋" w:hAnsi="仿宋"/>
                <w:bCs/>
                <w:color w:val="auto"/>
              </w:rPr>
              <w:t>1.按进度参与各种活动；</w:t>
            </w:r>
          </w:p>
          <w:p>
            <w:pPr>
              <w:pStyle w:val="60"/>
              <w:autoSpaceDE w:val="0"/>
              <w:autoSpaceDN w:val="0"/>
              <w:adjustRightInd w:val="0"/>
              <w:spacing w:line="500" w:lineRule="exact"/>
              <w:ind w:firstLine="0" w:firstLineChars="0"/>
              <w:jc w:val="left"/>
              <w:rPr>
                <w:rFonts w:ascii="仿宋" w:hAnsi="仿宋"/>
                <w:bCs/>
                <w:color w:val="auto"/>
              </w:rPr>
            </w:pPr>
            <w:r>
              <w:rPr>
                <w:rFonts w:ascii="仿宋" w:hAnsi="仿宋"/>
                <w:bCs/>
                <w:color w:val="auto"/>
              </w:rPr>
              <w:t>2.对项目实施技术、质量跟踪与检查；</w:t>
            </w:r>
          </w:p>
          <w:p>
            <w:pPr>
              <w:pStyle w:val="60"/>
              <w:autoSpaceDE w:val="0"/>
              <w:autoSpaceDN w:val="0"/>
              <w:adjustRightInd w:val="0"/>
              <w:spacing w:line="500" w:lineRule="exact"/>
              <w:ind w:firstLine="0" w:firstLineChars="0"/>
              <w:jc w:val="left"/>
              <w:rPr>
                <w:rFonts w:ascii="仿宋" w:hAnsi="仿宋"/>
                <w:bCs/>
                <w:color w:val="auto"/>
              </w:rPr>
            </w:pPr>
            <w:r>
              <w:rPr>
                <w:rFonts w:ascii="仿宋" w:hAnsi="仿宋"/>
                <w:bCs/>
                <w:color w:val="auto"/>
              </w:rPr>
              <w:t>3.组织项目过程评审、验收等；</w:t>
            </w:r>
          </w:p>
          <w:p>
            <w:pPr>
              <w:pStyle w:val="60"/>
              <w:autoSpaceDE w:val="0"/>
              <w:autoSpaceDN w:val="0"/>
              <w:adjustRightInd w:val="0"/>
              <w:spacing w:line="500" w:lineRule="exact"/>
              <w:ind w:firstLine="0" w:firstLineChars="0"/>
              <w:jc w:val="left"/>
              <w:rPr>
                <w:rFonts w:ascii="仿宋" w:hAnsi="仿宋"/>
                <w:bCs/>
                <w:color w:val="auto"/>
              </w:rPr>
            </w:pPr>
            <w:r>
              <w:rPr>
                <w:rFonts w:ascii="仿宋" w:hAnsi="仿宋"/>
                <w:bCs/>
                <w:color w:val="auto"/>
              </w:rPr>
              <w:t>4.按照合同进度向乙方支付合同阶段款；</w:t>
            </w:r>
          </w:p>
          <w:p>
            <w:pPr>
              <w:pStyle w:val="60"/>
              <w:autoSpaceDE w:val="0"/>
              <w:autoSpaceDN w:val="0"/>
              <w:adjustRightInd w:val="0"/>
              <w:spacing w:line="500" w:lineRule="exact"/>
              <w:ind w:firstLine="0" w:firstLineChars="0"/>
              <w:jc w:val="left"/>
              <w:rPr>
                <w:rFonts w:ascii="仿宋" w:hAnsi="仿宋"/>
                <w:bCs/>
                <w:color w:val="auto"/>
              </w:rPr>
            </w:pPr>
            <w:r>
              <w:rPr>
                <w:rFonts w:ascii="仿宋" w:hAnsi="仿宋"/>
                <w:bCs/>
                <w:color w:val="auto"/>
              </w:rPr>
              <w:t>5.实施过程中为乙方提供必要的协助和指导；</w:t>
            </w:r>
          </w:p>
          <w:p>
            <w:pPr>
              <w:adjustRightInd w:val="0"/>
              <w:snapToGrid w:val="0"/>
              <w:spacing w:line="500" w:lineRule="exact"/>
              <w:rPr>
                <w:rFonts w:ascii="仿宋" w:hAnsi="仿宋"/>
                <w:color w:val="auto"/>
              </w:rPr>
            </w:pPr>
            <w:r>
              <w:rPr>
                <w:rFonts w:ascii="仿宋" w:hAnsi="仿宋"/>
                <w:bCs/>
                <w:color w:val="auto"/>
              </w:rPr>
              <w:t>6.严格遵守双方在合同中明确的事项。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6" w:type="dxa"/>
        </w:trPr>
        <w:tc>
          <w:tcPr>
            <w:tcW w:w="9196" w:type="dxa"/>
            <w:gridSpan w:val="6"/>
          </w:tcPr>
          <w:p>
            <w:pPr>
              <w:autoSpaceDE w:val="0"/>
              <w:autoSpaceDN w:val="0"/>
              <w:adjustRightInd w:val="0"/>
              <w:spacing w:line="500" w:lineRule="exact"/>
              <w:jc w:val="left"/>
              <w:rPr>
                <w:rFonts w:ascii="仿宋" w:hAnsi="仿宋"/>
                <w:b/>
                <w:bCs/>
                <w:color w:val="auto"/>
              </w:rPr>
            </w:pPr>
            <w:r>
              <w:rPr>
                <w:rFonts w:ascii="仿宋" w:hAnsi="仿宋"/>
                <w:b/>
                <w:bCs/>
                <w:color w:val="auto"/>
              </w:rPr>
              <w:t>十二、乙方的权利和义务</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1.按照合同约定开展研究工作；</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2.为保障本合同更顺利的开展，本合同的负责人和主要成员一经确定，乙方不得随意变更，如有变更，应及时发函通知甲方；</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3.按照合同约定配合甲方完成各种活动；</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4.积极配合甲方组织的过程评审、验收等工作并提交完整的材料；</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5.按照合同进度向甲方提出付款申请，提供等额合规发票；</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6.本合同研究获得的科研成果在未经得甲方同意的情况下乙方不得交流和扩散；</w:t>
            </w:r>
          </w:p>
          <w:p>
            <w:pPr>
              <w:adjustRightInd w:val="0"/>
              <w:snapToGrid w:val="0"/>
              <w:spacing w:line="500" w:lineRule="exact"/>
              <w:rPr>
                <w:rFonts w:ascii="仿宋" w:hAnsi="仿宋"/>
                <w:color w:val="auto"/>
              </w:rPr>
            </w:pPr>
            <w:r>
              <w:rPr>
                <w:rFonts w:ascii="仿宋" w:hAnsi="仿宋"/>
                <w:color w:val="auto"/>
              </w:rPr>
              <w:t>7.严格遵守双方在合同中明确的事项。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6" w:type="dxa"/>
        </w:trPr>
        <w:tc>
          <w:tcPr>
            <w:tcW w:w="9196" w:type="dxa"/>
            <w:gridSpan w:val="6"/>
          </w:tcPr>
          <w:p>
            <w:pPr>
              <w:pStyle w:val="60"/>
              <w:autoSpaceDE w:val="0"/>
              <w:autoSpaceDN w:val="0"/>
              <w:adjustRightInd w:val="0"/>
              <w:spacing w:line="500" w:lineRule="exact"/>
              <w:ind w:firstLine="0" w:firstLineChars="0"/>
              <w:jc w:val="left"/>
              <w:rPr>
                <w:rFonts w:ascii="仿宋" w:hAnsi="仿宋"/>
                <w:b/>
                <w:color w:val="auto"/>
              </w:rPr>
            </w:pPr>
            <w:r>
              <w:rPr>
                <w:rFonts w:ascii="仿宋" w:hAnsi="仿宋"/>
                <w:b/>
                <w:color w:val="auto"/>
              </w:rPr>
              <w:t>十三、违约责任</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1.因乙方原因，乙方提交的工作成果（或产品或服务等，其他地方同）经验收不符合甲方要求或本合同约定的技术标准或验收标准的，由乙方进行整改、修复，任务完成期限不做顺延。若乙方经一次整改或修复后提交的工作成果仍不符合甲方要求或本合同约定或未在甲方要求期限内完成的，甲方有权解除本合同，乙方应在甲方发送合同解决通知后五日内退回全部已收取的费用，并向甲方支付本合同金额</w:t>
            </w:r>
            <w:r>
              <w:rPr>
                <w:rFonts w:ascii="仿宋" w:hAnsi="仿宋"/>
                <w:color w:val="auto"/>
                <w:u w:val="single"/>
              </w:rPr>
              <w:t>10%</w:t>
            </w:r>
            <w:r>
              <w:rPr>
                <w:rFonts w:ascii="仿宋" w:hAnsi="仿宋"/>
                <w:color w:val="auto"/>
              </w:rPr>
              <w:t>的违约金；</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2.乙方逾期交货的，每逾期一天应向甲方支付本合同金额</w:t>
            </w:r>
            <w:r>
              <w:rPr>
                <w:rFonts w:ascii="仿宋" w:hAnsi="仿宋"/>
                <w:color w:val="auto"/>
                <w:u w:val="single"/>
              </w:rPr>
              <w:t>1‰</w:t>
            </w:r>
            <w:r>
              <w:rPr>
                <w:rFonts w:ascii="仿宋" w:hAnsi="仿宋"/>
                <w:color w:val="auto"/>
              </w:rPr>
              <w:t>的违约金，逾期超</w:t>
            </w:r>
            <w:r>
              <w:rPr>
                <w:rFonts w:ascii="仿宋" w:hAnsi="仿宋"/>
                <w:color w:val="auto"/>
                <w:u w:val="single"/>
              </w:rPr>
              <w:t>90</w:t>
            </w:r>
            <w:r>
              <w:rPr>
                <w:rFonts w:ascii="仿宋" w:hAnsi="仿宋"/>
                <w:color w:val="auto"/>
              </w:rPr>
              <w:t>天的，甲方有权解除本合同，乙方应在甲方发送解除通知后的五日内，退还已收取的全部费用，并支付合同总金额</w:t>
            </w:r>
            <w:r>
              <w:rPr>
                <w:rFonts w:ascii="仿宋" w:hAnsi="仿宋"/>
                <w:color w:val="auto"/>
                <w:u w:val="single"/>
              </w:rPr>
              <w:t>10%</w:t>
            </w:r>
            <w:r>
              <w:rPr>
                <w:rFonts w:ascii="仿宋" w:hAnsi="仿宋"/>
                <w:color w:val="auto"/>
              </w:rPr>
              <w:t>的违约金；</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3.乙方有其他违约或违法行为，经甲方通知仍然未改正的，甲方有权解除合同，乙方并应向甲方支付本合同金额</w:t>
            </w:r>
            <w:r>
              <w:rPr>
                <w:rFonts w:ascii="仿宋" w:hAnsi="仿宋"/>
                <w:color w:val="auto"/>
                <w:u w:val="single"/>
              </w:rPr>
              <w:t>10%</w:t>
            </w:r>
            <w:r>
              <w:rPr>
                <w:rFonts w:ascii="仿宋" w:hAnsi="仿宋"/>
                <w:color w:val="auto"/>
              </w:rPr>
              <w:t>的违约金；</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4. 甲方为实现权利而支付的费用（如诉讼费、律师费、差旅费等一切费用）由乙方承担。</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5. 乙方支付违约金不足以弥补甲方损失（该损失包括直接损失和合同预期利益）的，不足部分，乙方还应承担赔偿责任；</w:t>
            </w:r>
          </w:p>
          <w:p>
            <w:pPr>
              <w:adjustRightInd w:val="0"/>
              <w:snapToGrid w:val="0"/>
              <w:spacing w:line="500" w:lineRule="exact"/>
              <w:rPr>
                <w:rFonts w:ascii="仿宋" w:hAnsi="仿宋"/>
                <w:color w:val="auto"/>
              </w:rPr>
            </w:pPr>
            <w:r>
              <w:rPr>
                <w:rFonts w:ascii="仿宋" w:hAnsi="仿宋"/>
                <w:color w:val="auto"/>
              </w:rPr>
              <w:t>6. 若合同的一方由于不可抗拒力，如战争、水灾、台风、地震、禁令和政府的法令及其它双方认可的不可抗拒情况等原因的影响不能正常执行合同，则合同应顺延执行或终止。受阻方应尽快将发生的不可抗力事件情况以书面或电子等形式通知另一方，并在一月内通过权威部门开具不可抗力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6" w:type="dxa"/>
        </w:trPr>
        <w:tc>
          <w:tcPr>
            <w:tcW w:w="9196" w:type="dxa"/>
            <w:gridSpan w:val="6"/>
          </w:tcPr>
          <w:p>
            <w:pPr>
              <w:pStyle w:val="60"/>
              <w:autoSpaceDE w:val="0"/>
              <w:autoSpaceDN w:val="0"/>
              <w:adjustRightInd w:val="0"/>
              <w:spacing w:line="500" w:lineRule="exact"/>
              <w:ind w:firstLine="0" w:firstLineChars="0"/>
              <w:jc w:val="left"/>
              <w:rPr>
                <w:rFonts w:ascii="仿宋" w:hAnsi="仿宋"/>
                <w:b/>
                <w:color w:val="auto"/>
              </w:rPr>
            </w:pPr>
            <w:r>
              <w:rPr>
                <w:rFonts w:ascii="仿宋" w:hAnsi="仿宋"/>
                <w:b/>
                <w:color w:val="auto"/>
              </w:rPr>
              <w:t>十四、其他</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1.本合同一式四份，甲乙双方各执两份。合同经双方签字盖章后正式生效，效力直至甲乙双方完全履行了合同义务时终止。</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2.本合同的修改和补充应书面作出表达，经双方代表签字盖章后方能生效，并作为本合同的附件。</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3.本合同在执行过程中双方发生纠纷，由双方当事人协商解决；如不能协商解决，根据《民法典》有关条款由签约所在地人民法院诉讼解决。</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4.双方约定以本合同首部所列联系地址为送达地址，如有变更，应在变更后三日内通知对方。按联系地址邮寄或送达材料后，视为履行完毕函告通知义务，人民法院等纠纷解决机关可以将联系地址作为送达诉讼文书的确认地址。</w:t>
            </w:r>
          </w:p>
          <w:p>
            <w:pPr>
              <w:pStyle w:val="60"/>
              <w:autoSpaceDE w:val="0"/>
              <w:autoSpaceDN w:val="0"/>
              <w:adjustRightInd w:val="0"/>
              <w:spacing w:line="500" w:lineRule="exact"/>
              <w:ind w:firstLine="0" w:firstLineChars="0"/>
              <w:jc w:val="left"/>
              <w:rPr>
                <w:rFonts w:ascii="仿宋" w:hAnsi="仿宋"/>
                <w:color w:val="auto"/>
              </w:rPr>
            </w:pPr>
            <w:r>
              <w:rPr>
                <w:rFonts w:ascii="仿宋" w:hAnsi="仿宋"/>
                <w:color w:val="auto"/>
              </w:rPr>
              <w:t>5.本合同适用中华人民共和国法律。</w:t>
            </w:r>
          </w:p>
          <w:p>
            <w:pPr>
              <w:adjustRightInd w:val="0"/>
              <w:snapToGrid w:val="0"/>
              <w:spacing w:line="500" w:lineRule="exact"/>
              <w:rPr>
                <w:rFonts w:ascii="仿宋" w:hAnsi="仿宋"/>
                <w:color w:val="auto"/>
              </w:rPr>
            </w:pPr>
            <w:r>
              <w:rPr>
                <w:rFonts w:ascii="仿宋" w:hAnsi="仿宋"/>
                <w:color w:val="auto"/>
              </w:rPr>
              <w:t>6.未尽事宜双方协商解决。</w:t>
            </w:r>
          </w:p>
        </w:tc>
      </w:tr>
    </w:tbl>
    <w:p>
      <w:pPr>
        <w:pStyle w:val="24"/>
        <w:jc w:val="left"/>
        <w:rPr>
          <w:rFonts w:ascii="仿宋" w:hAnsi="仿宋"/>
          <w:color w:val="auto"/>
        </w:rPr>
      </w:pPr>
      <w:r>
        <w:rPr>
          <w:rFonts w:ascii="仿宋" w:hAnsi="仿宋"/>
          <w:color w:val="auto"/>
        </w:rPr>
        <w:br w:type="page"/>
      </w:r>
      <w:r>
        <w:rPr>
          <w:rFonts w:ascii="仿宋" w:hAnsi="仿宋" w:cs="仿宋"/>
          <w:color w:val="auto"/>
        </w:rPr>
        <w:t>附件二</w:t>
      </w:r>
    </w:p>
    <w:p>
      <w:pPr>
        <w:spacing w:line="500" w:lineRule="exact"/>
        <w:jc w:val="center"/>
        <w:rPr>
          <w:rFonts w:ascii="仿宋" w:hAnsi="仿宋"/>
          <w:color w:val="auto"/>
        </w:rPr>
      </w:pPr>
      <w:r>
        <w:rPr>
          <w:rFonts w:ascii="仿宋" w:hAnsi="仿宋"/>
          <w:color w:val="auto"/>
          <w:u w:val="single"/>
        </w:rPr>
        <w:t xml:space="preserve">         </w:t>
      </w:r>
      <w:r>
        <w:rPr>
          <w:rFonts w:ascii="仿宋" w:hAnsi="仿宋"/>
          <w:color w:val="auto"/>
        </w:rPr>
        <w:t>项目安全生产</w:t>
      </w:r>
    </w:p>
    <w:p>
      <w:pPr>
        <w:spacing w:line="500" w:lineRule="exact"/>
        <w:jc w:val="center"/>
        <w:rPr>
          <w:rFonts w:ascii="仿宋" w:hAnsi="仿宋"/>
          <w:color w:val="auto"/>
        </w:rPr>
      </w:pPr>
      <w:r>
        <w:rPr>
          <w:rFonts w:ascii="仿宋" w:hAnsi="仿宋"/>
          <w:color w:val="auto"/>
        </w:rPr>
        <w:t>及保卫保密管理协议书</w:t>
      </w:r>
    </w:p>
    <w:p>
      <w:pPr>
        <w:spacing w:line="500" w:lineRule="exact"/>
        <w:jc w:val="center"/>
        <w:rPr>
          <w:rFonts w:ascii="仿宋" w:hAnsi="仿宋"/>
          <w:color w:val="auto"/>
        </w:rPr>
      </w:pPr>
    </w:p>
    <w:p>
      <w:pPr>
        <w:spacing w:line="500" w:lineRule="exact"/>
        <w:rPr>
          <w:rFonts w:ascii="仿宋" w:hAnsi="仿宋"/>
          <w:color w:val="auto"/>
        </w:rPr>
      </w:pPr>
      <w:r>
        <w:rPr>
          <w:rFonts w:ascii="仿宋" w:hAnsi="仿宋"/>
          <w:color w:val="auto"/>
        </w:rPr>
        <w:t>甲方：中国工程物理研究院激光聚变研究中心</w:t>
      </w:r>
    </w:p>
    <w:p>
      <w:pPr>
        <w:spacing w:line="500" w:lineRule="exact"/>
        <w:rPr>
          <w:rFonts w:ascii="仿宋" w:hAnsi="仿宋"/>
          <w:color w:val="auto"/>
        </w:rPr>
      </w:pPr>
      <w:r>
        <w:rPr>
          <w:rFonts w:ascii="仿宋" w:hAnsi="仿宋"/>
          <w:color w:val="auto"/>
        </w:rPr>
        <w:t>乙方：XX</w:t>
      </w:r>
    </w:p>
    <w:p>
      <w:pPr>
        <w:spacing w:line="500" w:lineRule="exact"/>
        <w:ind w:firstLine="480" w:firstLineChars="200"/>
        <w:rPr>
          <w:rFonts w:ascii="仿宋" w:hAnsi="仿宋"/>
          <w:color w:val="auto"/>
        </w:rPr>
      </w:pPr>
      <w:r>
        <w:rPr>
          <w:rFonts w:ascii="仿宋" w:hAnsi="仿宋"/>
          <w:color w:val="auto"/>
        </w:rPr>
        <w:t>根据《中华人民共和国安全生产法》等规定，为明确甲、乙双方的安全生产等管理职责、权利和义务，经双方平等协商一致，签订本协议，共同遵守本协议所列条款。</w:t>
      </w:r>
    </w:p>
    <w:p>
      <w:pPr>
        <w:numPr>
          <w:ilvl w:val="0"/>
          <w:numId w:val="3"/>
        </w:numPr>
        <w:spacing w:line="500" w:lineRule="exact"/>
        <w:rPr>
          <w:rFonts w:ascii="仿宋" w:hAnsi="仿宋"/>
          <w:color w:val="auto"/>
        </w:rPr>
      </w:pPr>
      <w:r>
        <w:rPr>
          <w:rFonts w:ascii="仿宋" w:hAnsi="仿宋"/>
          <w:color w:val="auto"/>
        </w:rPr>
        <w:t>本协议自签订之日起至甲乙方签订的《XX》合同执行期间有效，合同结束后自动失效。</w:t>
      </w:r>
    </w:p>
    <w:p>
      <w:pPr>
        <w:numPr>
          <w:ilvl w:val="0"/>
          <w:numId w:val="3"/>
        </w:numPr>
        <w:spacing w:line="500" w:lineRule="exact"/>
        <w:rPr>
          <w:rFonts w:ascii="仿宋" w:hAnsi="仿宋"/>
          <w:color w:val="auto"/>
        </w:rPr>
      </w:pPr>
      <w:r>
        <w:rPr>
          <w:rFonts w:ascii="仿宋" w:hAnsi="仿宋"/>
          <w:color w:val="auto"/>
        </w:rPr>
        <w:t>双方共同的责任和义务</w:t>
      </w:r>
    </w:p>
    <w:p>
      <w:pPr>
        <w:numPr>
          <w:ilvl w:val="0"/>
          <w:numId w:val="4"/>
        </w:numPr>
        <w:spacing w:line="500" w:lineRule="exact"/>
        <w:rPr>
          <w:rFonts w:ascii="仿宋" w:hAnsi="仿宋"/>
          <w:color w:val="auto"/>
        </w:rPr>
      </w:pPr>
      <w:r>
        <w:rPr>
          <w:rFonts w:ascii="仿宋" w:hAnsi="仿宋"/>
          <w:color w:val="auto"/>
        </w:rPr>
        <w:t>双方必须严格遵守国家及院职业健康、安全生产的法律法规。</w:t>
      </w:r>
    </w:p>
    <w:p>
      <w:pPr>
        <w:numPr>
          <w:ilvl w:val="0"/>
          <w:numId w:val="4"/>
        </w:numPr>
        <w:spacing w:line="500" w:lineRule="exact"/>
        <w:rPr>
          <w:rFonts w:ascii="仿宋" w:hAnsi="仿宋"/>
          <w:color w:val="auto"/>
        </w:rPr>
      </w:pPr>
      <w:r>
        <w:rPr>
          <w:rFonts w:ascii="仿宋" w:hAnsi="仿宋"/>
          <w:color w:val="auto"/>
        </w:rPr>
        <w:t>双方应严格遵守院所保卫、技防、交通、安全生产相关的规章制度。</w:t>
      </w:r>
    </w:p>
    <w:p>
      <w:pPr>
        <w:numPr>
          <w:ilvl w:val="0"/>
          <w:numId w:val="4"/>
        </w:numPr>
        <w:spacing w:line="500" w:lineRule="exact"/>
        <w:rPr>
          <w:rFonts w:ascii="仿宋" w:hAnsi="仿宋"/>
          <w:color w:val="auto"/>
        </w:rPr>
      </w:pPr>
      <w:r>
        <w:rPr>
          <w:rFonts w:ascii="仿宋" w:hAnsi="仿宋"/>
          <w:color w:val="auto"/>
        </w:rPr>
        <w:t>根据签订的协议，双方各自承担业务范围内的安全生产管理责任。</w:t>
      </w:r>
    </w:p>
    <w:p>
      <w:pPr>
        <w:numPr>
          <w:ilvl w:val="0"/>
          <w:numId w:val="4"/>
        </w:numPr>
        <w:spacing w:line="500" w:lineRule="exact"/>
        <w:rPr>
          <w:rFonts w:ascii="仿宋" w:hAnsi="仿宋"/>
          <w:color w:val="auto"/>
        </w:rPr>
      </w:pPr>
      <w:r>
        <w:rPr>
          <w:rFonts w:ascii="仿宋" w:hAnsi="仿宋"/>
          <w:color w:val="auto"/>
        </w:rPr>
        <w:t>双方应确保各自作业人员身体健康、持证上岗、能胜任本职工作，无传染病等危害公众健康的疾病，否则一切后果自负。</w:t>
      </w:r>
    </w:p>
    <w:p>
      <w:pPr>
        <w:numPr>
          <w:ilvl w:val="0"/>
          <w:numId w:val="4"/>
        </w:numPr>
        <w:spacing w:line="500" w:lineRule="exact"/>
        <w:rPr>
          <w:rFonts w:ascii="仿宋" w:hAnsi="仿宋"/>
          <w:color w:val="auto"/>
        </w:rPr>
      </w:pPr>
      <w:r>
        <w:rPr>
          <w:rFonts w:ascii="仿宋" w:hAnsi="仿宋"/>
          <w:color w:val="auto"/>
        </w:rPr>
        <w:t>双方各指定安全工作联系人，负责现场作业的联系、实施过程监督管理等。如有必要，甲方应对乙方人员进行相关的安全培训和教育。</w:t>
      </w:r>
    </w:p>
    <w:p>
      <w:pPr>
        <w:spacing w:line="500" w:lineRule="exact"/>
        <w:ind w:left="1680" w:leftChars="700"/>
        <w:rPr>
          <w:rFonts w:ascii="仿宋" w:hAnsi="仿宋"/>
          <w:color w:val="auto"/>
          <w:u w:val="single"/>
        </w:rPr>
      </w:pPr>
      <w:r>
        <w:rPr>
          <w:rFonts w:ascii="仿宋" w:hAnsi="仿宋"/>
          <w:color w:val="auto"/>
        </w:rPr>
        <w:t>甲方安全联系人：XX  联系电话：</w:t>
      </w:r>
      <w:r>
        <w:rPr>
          <w:rFonts w:ascii="仿宋" w:hAnsi="仿宋"/>
          <w:color w:val="auto"/>
          <w:u w:val="single"/>
        </w:rPr>
        <w:t xml:space="preserve">                </w:t>
      </w:r>
    </w:p>
    <w:p>
      <w:pPr>
        <w:spacing w:line="500" w:lineRule="exact"/>
        <w:ind w:left="1680" w:leftChars="700"/>
        <w:rPr>
          <w:rFonts w:ascii="仿宋" w:hAnsi="仿宋"/>
          <w:color w:val="auto"/>
        </w:rPr>
      </w:pPr>
      <w:r>
        <w:rPr>
          <w:rFonts w:ascii="仿宋" w:hAnsi="仿宋"/>
          <w:color w:val="auto"/>
        </w:rPr>
        <w:t>乙方安全联系人：XX  联系电话：</w:t>
      </w:r>
      <w:r>
        <w:rPr>
          <w:rFonts w:ascii="仿宋" w:hAnsi="仿宋"/>
          <w:color w:val="auto"/>
          <w:u w:val="single"/>
        </w:rPr>
        <w:t xml:space="preserve">                </w:t>
      </w:r>
    </w:p>
    <w:p>
      <w:pPr>
        <w:numPr>
          <w:ilvl w:val="0"/>
          <w:numId w:val="4"/>
        </w:numPr>
        <w:spacing w:line="500" w:lineRule="exact"/>
        <w:rPr>
          <w:rFonts w:ascii="仿宋" w:hAnsi="仿宋"/>
          <w:color w:val="auto"/>
        </w:rPr>
      </w:pPr>
      <w:r>
        <w:rPr>
          <w:rFonts w:ascii="仿宋" w:hAnsi="仿宋"/>
          <w:color w:val="auto"/>
        </w:rPr>
        <w:t>双方有义务指出、制止和纠正发现的违章作业行为。</w:t>
      </w:r>
    </w:p>
    <w:p>
      <w:pPr>
        <w:numPr>
          <w:ilvl w:val="0"/>
          <w:numId w:val="4"/>
        </w:numPr>
        <w:spacing w:line="500" w:lineRule="exact"/>
        <w:rPr>
          <w:rFonts w:ascii="仿宋" w:hAnsi="仿宋"/>
          <w:color w:val="auto"/>
        </w:rPr>
      </w:pPr>
      <w:r>
        <w:rPr>
          <w:rFonts w:ascii="仿宋" w:hAnsi="仿宋"/>
          <w:color w:val="auto"/>
        </w:rPr>
        <w:t>双方应为各自员工配备必要的个人安全防护用品。</w:t>
      </w:r>
    </w:p>
    <w:p>
      <w:pPr>
        <w:numPr>
          <w:ilvl w:val="0"/>
          <w:numId w:val="3"/>
        </w:numPr>
        <w:spacing w:line="500" w:lineRule="exact"/>
        <w:rPr>
          <w:rFonts w:ascii="仿宋" w:hAnsi="仿宋"/>
          <w:color w:val="auto"/>
        </w:rPr>
      </w:pPr>
      <w:r>
        <w:rPr>
          <w:rFonts w:ascii="仿宋" w:hAnsi="仿宋"/>
          <w:color w:val="auto"/>
        </w:rPr>
        <w:t>甲方的责任和义务</w:t>
      </w:r>
    </w:p>
    <w:p>
      <w:pPr>
        <w:numPr>
          <w:ilvl w:val="0"/>
          <w:numId w:val="4"/>
        </w:numPr>
        <w:spacing w:line="500" w:lineRule="exact"/>
        <w:rPr>
          <w:rFonts w:ascii="仿宋" w:hAnsi="仿宋"/>
          <w:color w:val="auto"/>
        </w:rPr>
      </w:pPr>
      <w:r>
        <w:rPr>
          <w:rFonts w:ascii="仿宋" w:hAnsi="仿宋"/>
          <w:color w:val="auto"/>
        </w:rPr>
        <w:t>甲方有对乙方进行安全监督检查的权利和义务。</w:t>
      </w:r>
    </w:p>
    <w:p>
      <w:pPr>
        <w:numPr>
          <w:ilvl w:val="0"/>
          <w:numId w:val="4"/>
        </w:numPr>
        <w:spacing w:line="500" w:lineRule="exact"/>
        <w:rPr>
          <w:rFonts w:ascii="仿宋" w:hAnsi="仿宋"/>
          <w:color w:val="auto"/>
        </w:rPr>
      </w:pPr>
      <w:r>
        <w:rPr>
          <w:rFonts w:ascii="仿宋" w:hAnsi="仿宋"/>
          <w:color w:val="auto"/>
        </w:rPr>
        <w:t>甲方有告知乙方遵守单位安全、保卫相关规章制度及规定的义务。</w:t>
      </w:r>
    </w:p>
    <w:p>
      <w:pPr>
        <w:numPr>
          <w:ilvl w:val="0"/>
          <w:numId w:val="3"/>
        </w:numPr>
        <w:spacing w:line="500" w:lineRule="exact"/>
        <w:rPr>
          <w:rFonts w:ascii="仿宋" w:hAnsi="仿宋"/>
          <w:color w:val="auto"/>
        </w:rPr>
      </w:pPr>
      <w:r>
        <w:rPr>
          <w:rFonts w:ascii="仿宋" w:hAnsi="仿宋"/>
          <w:color w:val="auto"/>
        </w:rPr>
        <w:t>乙方的责任和义务</w:t>
      </w:r>
    </w:p>
    <w:p>
      <w:pPr>
        <w:numPr>
          <w:ilvl w:val="0"/>
          <w:numId w:val="4"/>
        </w:numPr>
        <w:spacing w:line="500" w:lineRule="exact"/>
        <w:rPr>
          <w:rFonts w:ascii="仿宋" w:hAnsi="仿宋"/>
          <w:color w:val="auto"/>
        </w:rPr>
      </w:pPr>
      <w:r>
        <w:rPr>
          <w:rFonts w:ascii="仿宋" w:hAnsi="仿宋"/>
          <w:color w:val="auto"/>
        </w:rPr>
        <w:t xml:space="preserve">  作业前应当对涉及的危险源进行充分辨识并有应急措施。</w:t>
      </w:r>
    </w:p>
    <w:p>
      <w:pPr>
        <w:numPr>
          <w:ilvl w:val="0"/>
          <w:numId w:val="4"/>
        </w:numPr>
        <w:spacing w:line="500" w:lineRule="exact"/>
        <w:rPr>
          <w:rFonts w:ascii="仿宋" w:hAnsi="仿宋"/>
          <w:color w:val="auto"/>
        </w:rPr>
      </w:pPr>
      <w:r>
        <w:rPr>
          <w:rFonts w:ascii="仿宋" w:hAnsi="仿宋"/>
          <w:color w:val="auto"/>
        </w:rPr>
        <w:t xml:space="preserve">  乙方应严格按照相关安全规定和行业规定进行现场作业活动。</w:t>
      </w:r>
    </w:p>
    <w:p>
      <w:pPr>
        <w:numPr>
          <w:ilvl w:val="0"/>
          <w:numId w:val="4"/>
        </w:numPr>
        <w:spacing w:line="500" w:lineRule="exact"/>
        <w:rPr>
          <w:rFonts w:ascii="仿宋" w:hAnsi="仿宋"/>
          <w:color w:val="auto"/>
        </w:rPr>
      </w:pPr>
      <w:r>
        <w:rPr>
          <w:rFonts w:ascii="仿宋" w:hAnsi="仿宋"/>
          <w:color w:val="auto"/>
        </w:rPr>
        <w:t xml:space="preserve">  乙方人员应认真学习和遵守甲方安全、保卫保密规定，并对相关人员进行培训和教育。</w:t>
      </w:r>
    </w:p>
    <w:p>
      <w:pPr>
        <w:numPr>
          <w:ilvl w:val="0"/>
          <w:numId w:val="4"/>
        </w:numPr>
        <w:spacing w:line="500" w:lineRule="exact"/>
        <w:rPr>
          <w:rFonts w:ascii="仿宋" w:hAnsi="仿宋"/>
          <w:color w:val="auto"/>
        </w:rPr>
      </w:pPr>
      <w:r>
        <w:rPr>
          <w:rFonts w:ascii="仿宋" w:hAnsi="仿宋"/>
          <w:color w:val="auto"/>
        </w:rPr>
        <w:t xml:space="preserve">  乙方不得翻阅甲方放置在现场的任何资料，并且只能在甲方指定的工作场所内活动。</w:t>
      </w:r>
    </w:p>
    <w:p>
      <w:pPr>
        <w:numPr>
          <w:ilvl w:val="0"/>
          <w:numId w:val="4"/>
        </w:numPr>
        <w:spacing w:line="500" w:lineRule="exact"/>
        <w:rPr>
          <w:rFonts w:ascii="仿宋" w:hAnsi="仿宋"/>
          <w:color w:val="auto"/>
        </w:rPr>
      </w:pPr>
      <w:r>
        <w:rPr>
          <w:rFonts w:ascii="仿宋" w:hAnsi="仿宋"/>
          <w:color w:val="auto"/>
        </w:rPr>
        <w:t>乙方禁止携带手机、智能手表、笔记本电脑等带有无线通讯和模块的电子设备带入甲方保密管理控制区。</w:t>
      </w:r>
    </w:p>
    <w:p>
      <w:pPr>
        <w:numPr>
          <w:ilvl w:val="0"/>
          <w:numId w:val="3"/>
        </w:numPr>
        <w:spacing w:line="500" w:lineRule="exact"/>
        <w:rPr>
          <w:rFonts w:ascii="仿宋" w:hAnsi="仿宋"/>
          <w:color w:val="auto"/>
        </w:rPr>
      </w:pPr>
      <w:r>
        <w:rPr>
          <w:rFonts w:ascii="仿宋" w:hAnsi="仿宋"/>
          <w:color w:val="auto"/>
        </w:rPr>
        <w:t>当事一方不履行协议义务或者履行协议义务不符合约定的，应当承担继续履行、采取补救措施或者赔偿损失等损失责任。</w:t>
      </w:r>
    </w:p>
    <w:p>
      <w:pPr>
        <w:numPr>
          <w:ilvl w:val="0"/>
          <w:numId w:val="3"/>
        </w:numPr>
        <w:spacing w:line="500" w:lineRule="exact"/>
        <w:rPr>
          <w:rFonts w:ascii="仿宋" w:hAnsi="仿宋"/>
          <w:color w:val="auto"/>
        </w:rPr>
      </w:pPr>
      <w:r>
        <w:rPr>
          <w:rFonts w:ascii="仿宋" w:hAnsi="仿宋"/>
          <w:color w:val="auto"/>
        </w:rPr>
        <w:t>如有与国家有关法律法规相违背的条款，按国家有关法律法规执行。</w:t>
      </w:r>
    </w:p>
    <w:p>
      <w:pPr>
        <w:spacing w:line="500" w:lineRule="exact"/>
        <w:rPr>
          <w:rFonts w:ascii="仿宋" w:hAnsi="仿宋"/>
          <w:color w:val="auto"/>
        </w:rPr>
      </w:pPr>
      <w:r>
        <w:rPr>
          <w:rFonts w:ascii="仿宋" w:hAnsi="仿宋"/>
          <w:color w:val="auto"/>
        </w:rPr>
        <w:t>本协议未尽事宜，双方协商解决。</w:t>
      </w:r>
    </w:p>
    <w:p>
      <w:pPr>
        <w:widowControl/>
        <w:spacing w:line="240" w:lineRule="auto"/>
        <w:jc w:val="left"/>
        <w:rPr>
          <w:rFonts w:ascii="仿宋" w:hAnsi="仿宋"/>
          <w:color w:val="auto"/>
        </w:rPr>
      </w:pPr>
      <w:r>
        <w:rPr>
          <w:rFonts w:ascii="仿宋" w:hAnsi="仿宋"/>
          <w:color w:val="auto"/>
        </w:rPr>
        <w:br w:type="page"/>
      </w:r>
    </w:p>
    <w:p>
      <w:pPr>
        <w:pStyle w:val="24"/>
        <w:jc w:val="left"/>
        <w:rPr>
          <w:rFonts w:ascii="仿宋" w:hAnsi="仿宋" w:cs="仿宋"/>
          <w:color w:val="auto"/>
        </w:rPr>
      </w:pPr>
      <w:r>
        <w:rPr>
          <w:rFonts w:hint="eastAsia" w:ascii="仿宋" w:hAnsi="仿宋" w:cs="仿宋"/>
          <w:color w:val="auto"/>
        </w:rPr>
        <w:t>附件三：</w:t>
      </w:r>
    </w:p>
    <w:p>
      <w:pPr>
        <w:pStyle w:val="24"/>
        <w:rPr>
          <w:rFonts w:ascii="仿宋" w:hAnsi="仿宋" w:cs="仿宋"/>
          <w:color w:val="auto"/>
        </w:rPr>
      </w:pPr>
      <w:r>
        <w:rPr>
          <w:rFonts w:hint="eastAsia" w:ascii="仿宋" w:hAnsi="仿宋" w:cs="仿宋"/>
          <w:color w:val="auto"/>
        </w:rPr>
        <w:t>供应商廉洁承诺书</w:t>
      </w:r>
    </w:p>
    <w:p>
      <w:pPr>
        <w:rPr>
          <w:rFonts w:ascii="仿宋" w:hAnsi="仿宋"/>
          <w:color w:val="auto"/>
        </w:rPr>
      </w:pPr>
    </w:p>
    <w:p>
      <w:pPr>
        <w:ind w:firstLine="480" w:firstLineChars="200"/>
        <w:rPr>
          <w:rFonts w:ascii="仿宋" w:hAnsi="仿宋"/>
          <w:color w:val="auto"/>
        </w:rPr>
      </w:pPr>
      <w:r>
        <w:rPr>
          <w:rFonts w:hint="eastAsia" w:ascii="仿宋" w:hAnsi="仿宋"/>
          <w:color w:val="auto"/>
        </w:rPr>
        <w:t>为确保采购外协活动的规范与廉洁,共同建设风清气正的购销合作关系，自愿作出以下廉洁承诺：</w:t>
      </w:r>
    </w:p>
    <w:p>
      <w:pPr>
        <w:ind w:firstLine="480" w:firstLineChars="200"/>
        <w:rPr>
          <w:rFonts w:ascii="仿宋" w:hAnsi="仿宋"/>
          <w:color w:val="auto"/>
        </w:rPr>
      </w:pPr>
      <w:r>
        <w:rPr>
          <w:rFonts w:hint="eastAsia" w:ascii="仿宋" w:hAnsi="仿宋"/>
          <w:color w:val="auto"/>
        </w:rPr>
        <w:t>一、参加采购单位的各项采购外协活动均严格遵守国家法律法规和廉洁从业规定，遵循诚信、公平竞争原则，不损害国家、采购单位及其他供应商的合法权益。</w:t>
      </w:r>
    </w:p>
    <w:p>
      <w:pPr>
        <w:ind w:firstLine="480" w:firstLineChars="200"/>
        <w:rPr>
          <w:rFonts w:ascii="仿宋" w:hAnsi="仿宋"/>
          <w:color w:val="auto"/>
        </w:rPr>
      </w:pPr>
      <w:r>
        <w:rPr>
          <w:rFonts w:hint="eastAsia" w:ascii="仿宋" w:hAnsi="仿宋"/>
          <w:color w:val="auto"/>
        </w:rPr>
        <w:t>二、不向采购单位、采购代理机构、评审专家行贿或提供其他不正当利益。</w:t>
      </w:r>
    </w:p>
    <w:p>
      <w:pPr>
        <w:ind w:firstLine="480" w:firstLineChars="200"/>
        <w:rPr>
          <w:rFonts w:ascii="仿宋" w:hAnsi="仿宋"/>
          <w:color w:val="auto"/>
        </w:rPr>
      </w:pPr>
      <w:r>
        <w:rPr>
          <w:rFonts w:hint="eastAsia" w:ascii="仿宋" w:hAnsi="仿宋"/>
          <w:color w:val="auto"/>
        </w:rPr>
        <w:t>（一）不向相关工作人员及亲属馈赠礼品、礼金(包括但不限于现金、有价证券、支付凭证、购物卡及贵重物品等)。</w:t>
      </w:r>
    </w:p>
    <w:p>
      <w:pPr>
        <w:ind w:firstLine="480" w:firstLineChars="200"/>
        <w:rPr>
          <w:rFonts w:ascii="仿宋" w:hAnsi="仿宋"/>
          <w:color w:val="auto"/>
        </w:rPr>
      </w:pPr>
      <w:r>
        <w:rPr>
          <w:rFonts w:hint="eastAsia" w:ascii="仿宋" w:hAnsi="仿宋"/>
          <w:color w:val="auto"/>
        </w:rPr>
        <w:t>（二）不向相关工作人员及亲属提供宴请、联谊活动、度假、旅游，以及到营业性娱乐场所(包括但不限于营业性的歌厅、舞厅、卡拉ok厅、夜总会、桑拿、按摩和高尔夫球等)消费。</w:t>
      </w:r>
    </w:p>
    <w:p>
      <w:pPr>
        <w:ind w:firstLine="480" w:firstLineChars="200"/>
        <w:rPr>
          <w:rFonts w:ascii="仿宋" w:hAnsi="仿宋"/>
          <w:color w:val="auto"/>
        </w:rPr>
      </w:pPr>
      <w:r>
        <w:rPr>
          <w:rFonts w:hint="eastAsia" w:ascii="仿宋" w:hAnsi="仿宋"/>
          <w:color w:val="auto"/>
        </w:rPr>
        <w:t>（三）不为相关工作人员及亲属安排工作,以及支付应由其个人自付的各种费用(包括但不限于住宅装修、婚丧嫁娶、旅游、度假、食宿、购物、学费、子女出国留学等)。</w:t>
      </w:r>
    </w:p>
    <w:p>
      <w:pPr>
        <w:ind w:firstLine="480" w:firstLineChars="200"/>
        <w:rPr>
          <w:rFonts w:ascii="仿宋" w:hAnsi="仿宋"/>
          <w:color w:val="auto"/>
        </w:rPr>
      </w:pPr>
      <w:r>
        <w:rPr>
          <w:rFonts w:hint="eastAsia" w:ascii="仿宋" w:hAnsi="仿宋"/>
          <w:color w:val="auto"/>
        </w:rPr>
        <w:t>（四）不直接、间接唆使或利诱相关工作人员利用其职务便利谋取私利。相关工作人员及亲属提出违纪要求或有其他违纪违法问题的，应及时提醒纠正并向采购单位监督管理部门举报。</w:t>
      </w:r>
    </w:p>
    <w:p>
      <w:pPr>
        <w:ind w:firstLine="480" w:firstLineChars="200"/>
        <w:rPr>
          <w:rFonts w:ascii="仿宋" w:hAnsi="仿宋"/>
          <w:color w:val="auto"/>
        </w:rPr>
      </w:pPr>
      <w:r>
        <w:rPr>
          <w:rFonts w:hint="eastAsia" w:ascii="仿宋" w:hAnsi="仿宋"/>
          <w:color w:val="auto"/>
        </w:rPr>
        <w:t>三、如违反相关承诺，自愿接受采购单位及中物院依法依规采取的终止采购外协活动、认定中标/成交无效、撤销合同、追究相关民事/刑事责任措施。同时自愿接受列入中物院不良行为记录名单、禁止参加中物院采购外协活动，并自愿扣减30%合同价款。</w:t>
      </w:r>
    </w:p>
    <w:p>
      <w:pPr>
        <w:rPr>
          <w:rFonts w:ascii="仿宋" w:hAnsi="仿宋"/>
          <w:color w:val="auto"/>
        </w:rPr>
      </w:pPr>
    </w:p>
    <w:p>
      <w:pPr>
        <w:jc w:val="right"/>
        <w:rPr>
          <w:rFonts w:ascii="仿宋" w:hAnsi="仿宋"/>
          <w:color w:val="auto"/>
        </w:rPr>
      </w:pPr>
      <w:r>
        <w:rPr>
          <w:rFonts w:hint="eastAsia" w:ascii="仿宋" w:hAnsi="仿宋"/>
          <w:color w:val="auto"/>
        </w:rPr>
        <w:t>承诺单位：(公章)</w:t>
      </w:r>
    </w:p>
    <w:p>
      <w:pPr>
        <w:jc w:val="right"/>
        <w:rPr>
          <w:rFonts w:ascii="仿宋" w:hAnsi="仿宋"/>
          <w:color w:val="auto"/>
        </w:rPr>
      </w:pPr>
      <w:r>
        <w:rPr>
          <w:rFonts w:hint="eastAsia" w:ascii="仿宋" w:hAnsi="仿宋"/>
          <w:color w:val="auto"/>
        </w:rPr>
        <w:t>年   月   日</w:t>
      </w:r>
    </w:p>
    <w:p>
      <w:pPr>
        <w:rPr>
          <w:color w:val="auto"/>
        </w:rPr>
      </w:pPr>
    </w:p>
    <w:p>
      <w:pPr>
        <w:rPr>
          <w:color w:val="auto"/>
        </w:rPr>
      </w:pPr>
    </w:p>
    <w:p>
      <w:pPr>
        <w:rPr>
          <w:color w:val="auto"/>
        </w:rPr>
      </w:pPr>
    </w:p>
    <w:sectPr>
      <w:footerReference r:id="rId18" w:type="default"/>
      <w:pgSz w:w="11906" w:h="16838"/>
      <w:pgMar w:top="1440" w:right="1191" w:bottom="1440" w:left="1418"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Segoe UI Emoji">
    <w:panose1 w:val="020B0502040204020203"/>
    <w:charset w:val="00"/>
    <w:family w:val="swiss"/>
    <w:pitch w:val="default"/>
    <w:sig w:usb0="00000001" w:usb1="02000000" w:usb2="00000000" w:usb3="00000000" w:csb0="00000001" w:csb1="00000000"/>
  </w:font>
  <w:font w:name="Wingdings 2">
    <w:panose1 w:val="05020102010507070707"/>
    <w:charset w:val="02"/>
    <w:family w:val="decorative"/>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30"/>
      </w:rPr>
    </w:pPr>
    <w:r>
      <w:rPr>
        <w:rStyle w:val="30"/>
      </w:rPr>
      <w:fldChar w:fldCharType="begin"/>
    </w:r>
    <w:r>
      <w:rPr>
        <w:rStyle w:val="30"/>
      </w:rPr>
      <w:instrText xml:space="preserve">PAGE  </w:instrText>
    </w:r>
    <w:r>
      <w:rPr>
        <w:rStyle w:val="30"/>
      </w:rP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rFonts w:hint="eastAsia"/>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9381735"/>
    </w:sdtPr>
    <w:sdtContent>
      <w:p>
        <w:pPr>
          <w:pStyle w:val="17"/>
          <w:jc w:val="center"/>
        </w:pPr>
        <w:r>
          <w:fldChar w:fldCharType="begin"/>
        </w:r>
        <w:r>
          <w:instrText xml:space="preserve">PAGE   \* MERGEFORMAT</w:instrText>
        </w:r>
        <w:r>
          <w:fldChar w:fldCharType="separate"/>
        </w:r>
        <w:r>
          <w:rPr>
            <w:lang w:val="zh-CN"/>
          </w:rPr>
          <w:t>2</w:t>
        </w:r>
        <w:r>
          <w:fldChar w:fldCharType="end"/>
        </w:r>
      </w:p>
    </w:sdtContent>
  </w:sdt>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3071762"/>
    </w:sdtPr>
    <w:sdtContent>
      <w:p>
        <w:pPr>
          <w:pStyle w:val="17"/>
          <w:jc w:val="center"/>
        </w:pPr>
        <w:r>
          <w:fldChar w:fldCharType="begin"/>
        </w:r>
        <w:r>
          <w:instrText xml:space="preserve">PAGE   \* MERGEFORMAT</w:instrText>
        </w:r>
        <w:r>
          <w:fldChar w:fldCharType="separate"/>
        </w:r>
        <w:r>
          <w:rPr>
            <w:lang w:val="zh-CN"/>
          </w:rPr>
          <w:t>10</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rP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44</w:t>
    </w:r>
    <w:r>
      <w:rPr>
        <w:rFonts w:ascii="宋体" w:hAnsi="宋体"/>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 PAGE   \* MERGEFORMAT </w:instrText>
    </w:r>
    <w:r>
      <w:fldChar w:fldCharType="separate"/>
    </w:r>
    <w:r>
      <w:rPr>
        <w:lang w:val="zh-CN"/>
      </w:rPr>
      <w:t>61</w:t>
    </w:r>
    <w:r>
      <w:rPr>
        <w:lang w:val="zh-CN"/>
      </w:rPr>
      <w:fldChar w:fldCharType="end"/>
    </w: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1956"/>
        <w:tab w:val="clear" w:pos="4153"/>
        <w:tab w:val="clear" w:pos="8306"/>
      </w:tabs>
      <w:jc w:val="right"/>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1956"/>
        <w:tab w:val="clear" w:pos="4153"/>
        <w:tab w:val="clear" w:pos="8306"/>
      </w:tabs>
      <w:jc w:val="right"/>
      <w:rPr>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1956"/>
        <w:tab w:val="clear" w:pos="4153"/>
        <w:tab w:val="clear" w:pos="8306"/>
      </w:tabs>
      <w:jc w:val="right"/>
      <w:rPr>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6F736D"/>
    <w:multiLevelType w:val="multilevel"/>
    <w:tmpl w:val="4C6F736D"/>
    <w:lvl w:ilvl="0" w:tentative="0">
      <w:start w:val="1"/>
      <w:numFmt w:val="decimal"/>
      <w:lvlText w:val="（%1）"/>
      <w:lvlJc w:val="left"/>
      <w:pPr>
        <w:ind w:left="794" w:hanging="720"/>
      </w:pPr>
      <w:rPr>
        <w:rFonts w:hint="default"/>
      </w:rPr>
    </w:lvl>
    <w:lvl w:ilvl="1" w:tentative="0">
      <w:start w:val="1"/>
      <w:numFmt w:val="lowerLetter"/>
      <w:lvlText w:val="%2)"/>
      <w:lvlJc w:val="left"/>
      <w:pPr>
        <w:ind w:left="914" w:hanging="420"/>
      </w:pPr>
    </w:lvl>
    <w:lvl w:ilvl="2" w:tentative="0">
      <w:start w:val="1"/>
      <w:numFmt w:val="lowerRoman"/>
      <w:lvlText w:val="%3."/>
      <w:lvlJc w:val="right"/>
      <w:pPr>
        <w:ind w:left="1334" w:hanging="420"/>
      </w:pPr>
    </w:lvl>
    <w:lvl w:ilvl="3" w:tentative="0">
      <w:start w:val="1"/>
      <w:numFmt w:val="decimal"/>
      <w:lvlText w:val="%4."/>
      <w:lvlJc w:val="left"/>
      <w:pPr>
        <w:ind w:left="1754" w:hanging="420"/>
      </w:pPr>
    </w:lvl>
    <w:lvl w:ilvl="4" w:tentative="0">
      <w:start w:val="1"/>
      <w:numFmt w:val="lowerLetter"/>
      <w:lvlText w:val="%5)"/>
      <w:lvlJc w:val="left"/>
      <w:pPr>
        <w:ind w:left="2174" w:hanging="420"/>
      </w:pPr>
    </w:lvl>
    <w:lvl w:ilvl="5" w:tentative="0">
      <w:start w:val="1"/>
      <w:numFmt w:val="lowerRoman"/>
      <w:lvlText w:val="%6."/>
      <w:lvlJc w:val="right"/>
      <w:pPr>
        <w:ind w:left="2594" w:hanging="420"/>
      </w:pPr>
    </w:lvl>
    <w:lvl w:ilvl="6" w:tentative="0">
      <w:start w:val="1"/>
      <w:numFmt w:val="decimal"/>
      <w:lvlText w:val="%7."/>
      <w:lvlJc w:val="left"/>
      <w:pPr>
        <w:ind w:left="3014" w:hanging="420"/>
      </w:pPr>
    </w:lvl>
    <w:lvl w:ilvl="7" w:tentative="0">
      <w:start w:val="1"/>
      <w:numFmt w:val="lowerLetter"/>
      <w:lvlText w:val="%8)"/>
      <w:lvlJc w:val="left"/>
      <w:pPr>
        <w:ind w:left="3434" w:hanging="420"/>
      </w:pPr>
    </w:lvl>
    <w:lvl w:ilvl="8" w:tentative="0">
      <w:start w:val="1"/>
      <w:numFmt w:val="lowerRoman"/>
      <w:lvlText w:val="%9."/>
      <w:lvlJc w:val="right"/>
      <w:pPr>
        <w:ind w:left="3854" w:hanging="420"/>
      </w:pPr>
    </w:lvl>
  </w:abstractNum>
  <w:abstractNum w:abstractNumId="1">
    <w:nsid w:val="5216629E"/>
    <w:multiLevelType w:val="multilevel"/>
    <w:tmpl w:val="5216629E"/>
    <w:lvl w:ilvl="0" w:tentative="0">
      <w:start w:val="1"/>
      <w:numFmt w:val="decimal"/>
      <w:pStyle w:val="87"/>
      <w:isLgl/>
      <w:suff w:val="nothing"/>
      <w:lvlText w:val="%1　"/>
      <w:lvlJc w:val="left"/>
      <w:rPr>
        <w:rFonts w:hint="default" w:ascii="Times New Roman" w:hAnsi="Times New Roman" w:eastAsia="宋体" w:cs="Times New Roman"/>
        <w:b/>
        <w:i w:val="0"/>
        <w:color w:val="auto"/>
        <w:sz w:val="28"/>
        <w:u w:val="none"/>
      </w:rPr>
    </w:lvl>
    <w:lvl w:ilvl="1" w:tentative="0">
      <w:start w:val="1"/>
      <w:numFmt w:val="decimal"/>
      <w:pStyle w:val="86"/>
      <w:isLgl/>
      <w:suff w:val="nothing"/>
      <w:lvlText w:val="%1.%2　"/>
      <w:lvlJc w:val="left"/>
      <w:rPr>
        <w:rFonts w:hint="default" w:ascii="Times New Roman" w:hAnsi="Times New Roman" w:eastAsia="宋体" w:cs="Times New Roman"/>
        <w:b/>
        <w:i w:val="0"/>
        <w:snapToGrid/>
        <w:color w:val="auto"/>
        <w:spacing w:val="0"/>
        <w:w w:val="100"/>
        <w:kern w:val="21"/>
        <w:sz w:val="28"/>
        <w:u w:val="none"/>
      </w:rPr>
    </w:lvl>
    <w:lvl w:ilvl="2" w:tentative="0">
      <w:start w:val="1"/>
      <w:numFmt w:val="decimal"/>
      <w:pStyle w:val="88"/>
      <w:isLgl/>
      <w:suff w:val="nothing"/>
      <w:lvlText w:val="%1.%2.%3　"/>
      <w:lvlJc w:val="left"/>
      <w:rPr>
        <w:rFonts w:hint="default" w:ascii="Times New Roman" w:hAnsi="Times New Roman" w:eastAsia="黑体" w:cs="Times New Roman"/>
        <w:b w:val="0"/>
        <w:i w:val="0"/>
        <w:sz w:val="28"/>
      </w:rPr>
    </w:lvl>
    <w:lvl w:ilvl="3" w:tentative="0">
      <w:start w:val="1"/>
      <w:numFmt w:val="decimal"/>
      <w:isLgl/>
      <w:suff w:val="nothing"/>
      <w:lvlText w:val="%1.%2.%3.%4　"/>
      <w:lvlJc w:val="left"/>
      <w:rPr>
        <w:rFonts w:hint="default" w:ascii="Times New Roman" w:hAnsi="Times New Roman" w:eastAsia="宋体" w:cs="Times New Roman"/>
        <w:b/>
        <w:i w:val="0"/>
        <w:color w:val="auto"/>
        <w:sz w:val="28"/>
        <w:u w:val="none"/>
      </w:rPr>
    </w:lvl>
    <w:lvl w:ilvl="4" w:tentative="0">
      <w:start w:val="1"/>
      <w:numFmt w:val="decimal"/>
      <w:isLgl/>
      <w:suff w:val="nothing"/>
      <w:lvlText w:val="%1.%2.%3.%4.%5　"/>
      <w:lvlJc w:val="left"/>
      <w:rPr>
        <w:rFonts w:hint="default" w:ascii="Times New Roman" w:hAnsi="Times New Roman" w:eastAsia="宋体" w:cs="Times New Roman"/>
        <w:b/>
        <w:i w:val="0"/>
        <w:color w:val="auto"/>
        <w:sz w:val="28"/>
        <w:u w:val="none"/>
      </w:rPr>
    </w:lvl>
    <w:lvl w:ilvl="5" w:tentative="0">
      <w:start w:val="1"/>
      <w:numFmt w:val="decimal"/>
      <w:isLgl/>
      <w:suff w:val="nothing"/>
      <w:lvlText w:val="%1.%2.%3.%4.%5.%6　"/>
      <w:lvlJc w:val="left"/>
      <w:rPr>
        <w:rFonts w:hint="default" w:ascii="Times New Roman" w:hAnsi="Times New Roman" w:eastAsia="宋体" w:cs="Times New Roman"/>
        <w:b/>
        <w:i w:val="0"/>
        <w:sz w:val="28"/>
      </w:rPr>
    </w:lvl>
    <w:lvl w:ilvl="6" w:tentative="0">
      <w:start w:val="1"/>
      <w:numFmt w:val="lowerLetter"/>
      <w:lvlText w:val="%7) "/>
      <w:lvlJc w:val="left"/>
      <w:pPr>
        <w:tabs>
          <w:tab w:val="left" w:pos="660"/>
        </w:tabs>
        <w:ind w:left="-100" w:firstLine="400"/>
      </w:pPr>
      <w:rPr>
        <w:rFonts w:hint="default" w:ascii="Times New Roman" w:hAnsi="Times New Roman" w:eastAsia="宋体" w:cs="Times New Roman"/>
        <w:b/>
        <w:i w:val="0"/>
        <w:color w:val="auto"/>
        <w:sz w:val="28"/>
        <w:u w:val="none"/>
      </w:rPr>
    </w:lvl>
    <w:lvl w:ilvl="7" w:tentative="0">
      <w:start w:val="1"/>
      <w:numFmt w:val="decimal"/>
      <w:lvlText w:val="%8)"/>
      <w:lvlJc w:val="left"/>
      <w:pPr>
        <w:tabs>
          <w:tab w:val="left" w:pos="885"/>
        </w:tabs>
        <w:ind w:left="525"/>
      </w:pPr>
      <w:rPr>
        <w:rFonts w:hint="default" w:ascii="Times New Roman" w:hAnsi="Times New Roman" w:eastAsia="宋体" w:cs="Times New Roman"/>
        <w:b/>
        <w:i w:val="0"/>
        <w:color w:val="auto"/>
        <w:sz w:val="28"/>
        <w:u w:val="none"/>
      </w:rPr>
    </w:lvl>
    <w:lvl w:ilvl="8" w:tentative="0">
      <w:start w:val="1"/>
      <w:numFmt w:val="none"/>
      <w:lvlText w:val="%9"/>
      <w:lvlJc w:val="left"/>
      <w:pPr>
        <w:tabs>
          <w:tab w:val="left" w:pos="885"/>
        </w:tabs>
        <w:ind w:left="525"/>
      </w:pPr>
      <w:rPr>
        <w:rFonts w:hint="eastAsia" w:ascii="宋体" w:eastAsia="宋体" w:cs="Times New Roman"/>
        <w:b w:val="0"/>
        <w:i w:val="0"/>
        <w:color w:val="auto"/>
        <w:sz w:val="28"/>
        <w:u w:val="none"/>
      </w:rPr>
    </w:lvl>
  </w:abstractNum>
  <w:abstractNum w:abstractNumId="2">
    <w:nsid w:val="558A44DF"/>
    <w:multiLevelType w:val="multilevel"/>
    <w:tmpl w:val="558A44DF"/>
    <w:lvl w:ilvl="0" w:tentative="0">
      <w:start w:val="1"/>
      <w:numFmt w:val="japaneseCounting"/>
      <w:lvlText w:val="%1、"/>
      <w:lvlJc w:val="left"/>
      <w:pPr>
        <w:tabs>
          <w:tab w:val="left" w:pos="480"/>
        </w:tabs>
        <w:ind w:left="480" w:hanging="4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44E3078"/>
    <w:multiLevelType w:val="multilevel"/>
    <w:tmpl w:val="744E3078"/>
    <w:lvl w:ilvl="0" w:tentative="0">
      <w:start w:val="1"/>
      <w:numFmt w:val="japaneseCounting"/>
      <w:lvlText w:val="第%1条"/>
      <w:lvlJc w:val="left"/>
      <w:pPr>
        <w:tabs>
          <w:tab w:val="left" w:pos="1380"/>
        </w:tabs>
        <w:ind w:left="1380" w:hanging="960"/>
      </w:pPr>
      <w:rPr>
        <w:rFonts w:hint="default"/>
        <w:lang w:val="en-US"/>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hNjE4MGE4MmQzYjhjOTcxMzI4MTVhMjU5YmI4YjAifQ=="/>
  </w:docVars>
  <w:rsids>
    <w:rsidRoot w:val="00172A27"/>
    <w:rsid w:val="00000CC7"/>
    <w:rsid w:val="00001C58"/>
    <w:rsid w:val="00005448"/>
    <w:rsid w:val="00005A4A"/>
    <w:rsid w:val="00007CB3"/>
    <w:rsid w:val="000111E5"/>
    <w:rsid w:val="00013069"/>
    <w:rsid w:val="00013B92"/>
    <w:rsid w:val="00015C1C"/>
    <w:rsid w:val="000164CD"/>
    <w:rsid w:val="00026686"/>
    <w:rsid w:val="00031202"/>
    <w:rsid w:val="000369D6"/>
    <w:rsid w:val="00036EA7"/>
    <w:rsid w:val="00044760"/>
    <w:rsid w:val="00046E9E"/>
    <w:rsid w:val="000523BD"/>
    <w:rsid w:val="00054A93"/>
    <w:rsid w:val="00057560"/>
    <w:rsid w:val="000630B7"/>
    <w:rsid w:val="00065513"/>
    <w:rsid w:val="00065709"/>
    <w:rsid w:val="00065C01"/>
    <w:rsid w:val="000668EA"/>
    <w:rsid w:val="00074545"/>
    <w:rsid w:val="00074B4D"/>
    <w:rsid w:val="000765B5"/>
    <w:rsid w:val="00081388"/>
    <w:rsid w:val="00082838"/>
    <w:rsid w:val="00084467"/>
    <w:rsid w:val="0008614E"/>
    <w:rsid w:val="000925C7"/>
    <w:rsid w:val="00097FD3"/>
    <w:rsid w:val="000A21D3"/>
    <w:rsid w:val="000A4E2F"/>
    <w:rsid w:val="000A5C35"/>
    <w:rsid w:val="000A65D1"/>
    <w:rsid w:val="000A6C47"/>
    <w:rsid w:val="000B0E72"/>
    <w:rsid w:val="000B4DB2"/>
    <w:rsid w:val="000B6020"/>
    <w:rsid w:val="000C3980"/>
    <w:rsid w:val="000D3F69"/>
    <w:rsid w:val="000D5D4C"/>
    <w:rsid w:val="000D657A"/>
    <w:rsid w:val="000D65E5"/>
    <w:rsid w:val="000E40ED"/>
    <w:rsid w:val="000E6245"/>
    <w:rsid w:val="000F284D"/>
    <w:rsid w:val="000F407A"/>
    <w:rsid w:val="000F5881"/>
    <w:rsid w:val="000F68F9"/>
    <w:rsid w:val="000F717F"/>
    <w:rsid w:val="0010084D"/>
    <w:rsid w:val="00102547"/>
    <w:rsid w:val="001061D9"/>
    <w:rsid w:val="001146F5"/>
    <w:rsid w:val="00117A0C"/>
    <w:rsid w:val="001304C7"/>
    <w:rsid w:val="001319BE"/>
    <w:rsid w:val="0013295A"/>
    <w:rsid w:val="00135C33"/>
    <w:rsid w:val="0014078B"/>
    <w:rsid w:val="00140F3C"/>
    <w:rsid w:val="00142F70"/>
    <w:rsid w:val="00144CC2"/>
    <w:rsid w:val="00145266"/>
    <w:rsid w:val="0015222A"/>
    <w:rsid w:val="0015244C"/>
    <w:rsid w:val="00153C02"/>
    <w:rsid w:val="001543DC"/>
    <w:rsid w:val="001561A9"/>
    <w:rsid w:val="00160EEA"/>
    <w:rsid w:val="00162E9A"/>
    <w:rsid w:val="0017253F"/>
    <w:rsid w:val="00172A27"/>
    <w:rsid w:val="001749B2"/>
    <w:rsid w:val="00175E3D"/>
    <w:rsid w:val="00176CC2"/>
    <w:rsid w:val="001775E2"/>
    <w:rsid w:val="00181CFE"/>
    <w:rsid w:val="001828A5"/>
    <w:rsid w:val="0019033F"/>
    <w:rsid w:val="0019045F"/>
    <w:rsid w:val="0019628F"/>
    <w:rsid w:val="001A08F4"/>
    <w:rsid w:val="001A1085"/>
    <w:rsid w:val="001A3981"/>
    <w:rsid w:val="001B0E06"/>
    <w:rsid w:val="001B1487"/>
    <w:rsid w:val="001B4D29"/>
    <w:rsid w:val="001B4FCB"/>
    <w:rsid w:val="001B5EB7"/>
    <w:rsid w:val="001C3198"/>
    <w:rsid w:val="001C3BCB"/>
    <w:rsid w:val="001C4BA6"/>
    <w:rsid w:val="001C5652"/>
    <w:rsid w:val="001D2F30"/>
    <w:rsid w:val="001D30D5"/>
    <w:rsid w:val="001E0A55"/>
    <w:rsid w:val="001E2361"/>
    <w:rsid w:val="001F30BC"/>
    <w:rsid w:val="001F472C"/>
    <w:rsid w:val="001F4ACC"/>
    <w:rsid w:val="001F50DC"/>
    <w:rsid w:val="002029B2"/>
    <w:rsid w:val="00203CC1"/>
    <w:rsid w:val="0022124B"/>
    <w:rsid w:val="002214FF"/>
    <w:rsid w:val="00221B34"/>
    <w:rsid w:val="00224A5E"/>
    <w:rsid w:val="00226754"/>
    <w:rsid w:val="0022796C"/>
    <w:rsid w:val="002410DD"/>
    <w:rsid w:val="00243C4A"/>
    <w:rsid w:val="00245913"/>
    <w:rsid w:val="00252F30"/>
    <w:rsid w:val="002556D4"/>
    <w:rsid w:val="0025620B"/>
    <w:rsid w:val="00263B9F"/>
    <w:rsid w:val="00265C86"/>
    <w:rsid w:val="00275B54"/>
    <w:rsid w:val="00277116"/>
    <w:rsid w:val="00283F80"/>
    <w:rsid w:val="002856B1"/>
    <w:rsid w:val="00286724"/>
    <w:rsid w:val="00290229"/>
    <w:rsid w:val="0029101B"/>
    <w:rsid w:val="00291CB0"/>
    <w:rsid w:val="002921B8"/>
    <w:rsid w:val="00294543"/>
    <w:rsid w:val="002952EE"/>
    <w:rsid w:val="00296301"/>
    <w:rsid w:val="002A79C8"/>
    <w:rsid w:val="002B0288"/>
    <w:rsid w:val="002B186D"/>
    <w:rsid w:val="002B2562"/>
    <w:rsid w:val="002B2ED7"/>
    <w:rsid w:val="002B6548"/>
    <w:rsid w:val="002B684A"/>
    <w:rsid w:val="002C2505"/>
    <w:rsid w:val="002C39F8"/>
    <w:rsid w:val="002C5FCD"/>
    <w:rsid w:val="002C6481"/>
    <w:rsid w:val="002D0757"/>
    <w:rsid w:val="002D1551"/>
    <w:rsid w:val="002E0D4B"/>
    <w:rsid w:val="002E20FE"/>
    <w:rsid w:val="002E4291"/>
    <w:rsid w:val="002E638B"/>
    <w:rsid w:val="002F01D1"/>
    <w:rsid w:val="003074D0"/>
    <w:rsid w:val="00310F78"/>
    <w:rsid w:val="00311B30"/>
    <w:rsid w:val="00322536"/>
    <w:rsid w:val="003269C4"/>
    <w:rsid w:val="00326E3B"/>
    <w:rsid w:val="00337ACC"/>
    <w:rsid w:val="003413DB"/>
    <w:rsid w:val="0034266C"/>
    <w:rsid w:val="0034293A"/>
    <w:rsid w:val="0034391C"/>
    <w:rsid w:val="00344AF9"/>
    <w:rsid w:val="003468B2"/>
    <w:rsid w:val="00346FE0"/>
    <w:rsid w:val="00350428"/>
    <w:rsid w:val="00362641"/>
    <w:rsid w:val="00365759"/>
    <w:rsid w:val="00370BD2"/>
    <w:rsid w:val="00370DDE"/>
    <w:rsid w:val="00372790"/>
    <w:rsid w:val="00374032"/>
    <w:rsid w:val="00377733"/>
    <w:rsid w:val="00381F99"/>
    <w:rsid w:val="00385006"/>
    <w:rsid w:val="003852DE"/>
    <w:rsid w:val="003862F6"/>
    <w:rsid w:val="00386426"/>
    <w:rsid w:val="00390401"/>
    <w:rsid w:val="00391E8F"/>
    <w:rsid w:val="0039772C"/>
    <w:rsid w:val="003A1638"/>
    <w:rsid w:val="003A3E0C"/>
    <w:rsid w:val="003B1D14"/>
    <w:rsid w:val="003B7723"/>
    <w:rsid w:val="003C0B2A"/>
    <w:rsid w:val="003C6855"/>
    <w:rsid w:val="003D06D2"/>
    <w:rsid w:val="003D1887"/>
    <w:rsid w:val="003D3C5D"/>
    <w:rsid w:val="003E1166"/>
    <w:rsid w:val="003E3938"/>
    <w:rsid w:val="003E4611"/>
    <w:rsid w:val="003E4E57"/>
    <w:rsid w:val="003E5DC3"/>
    <w:rsid w:val="003E6740"/>
    <w:rsid w:val="003E6A16"/>
    <w:rsid w:val="003E7A79"/>
    <w:rsid w:val="003F05CF"/>
    <w:rsid w:val="003F3869"/>
    <w:rsid w:val="004016D1"/>
    <w:rsid w:val="00405A3E"/>
    <w:rsid w:val="00406EF6"/>
    <w:rsid w:val="00412654"/>
    <w:rsid w:val="00412F05"/>
    <w:rsid w:val="004142DD"/>
    <w:rsid w:val="00414D9E"/>
    <w:rsid w:val="0043026D"/>
    <w:rsid w:val="004304C6"/>
    <w:rsid w:val="00430630"/>
    <w:rsid w:val="00432AE6"/>
    <w:rsid w:val="00433775"/>
    <w:rsid w:val="004345C2"/>
    <w:rsid w:val="0044295A"/>
    <w:rsid w:val="00445974"/>
    <w:rsid w:val="00446565"/>
    <w:rsid w:val="004523CB"/>
    <w:rsid w:val="00452DAD"/>
    <w:rsid w:val="00454EA7"/>
    <w:rsid w:val="0047100A"/>
    <w:rsid w:val="004711F3"/>
    <w:rsid w:val="00475238"/>
    <w:rsid w:val="00480BC9"/>
    <w:rsid w:val="00481FBE"/>
    <w:rsid w:val="0048490E"/>
    <w:rsid w:val="004853D8"/>
    <w:rsid w:val="00485B42"/>
    <w:rsid w:val="00491B5A"/>
    <w:rsid w:val="00494CEB"/>
    <w:rsid w:val="00495742"/>
    <w:rsid w:val="00495761"/>
    <w:rsid w:val="00495C77"/>
    <w:rsid w:val="004A052E"/>
    <w:rsid w:val="004A3B54"/>
    <w:rsid w:val="004A511B"/>
    <w:rsid w:val="004A68FC"/>
    <w:rsid w:val="004A7D83"/>
    <w:rsid w:val="004B0900"/>
    <w:rsid w:val="004B1195"/>
    <w:rsid w:val="004B309B"/>
    <w:rsid w:val="004B3DFC"/>
    <w:rsid w:val="004B4A39"/>
    <w:rsid w:val="004B4D3D"/>
    <w:rsid w:val="004C4BB3"/>
    <w:rsid w:val="004D36FF"/>
    <w:rsid w:val="004D458E"/>
    <w:rsid w:val="004D57B4"/>
    <w:rsid w:val="004D5BBD"/>
    <w:rsid w:val="004D7A88"/>
    <w:rsid w:val="004E0572"/>
    <w:rsid w:val="004E0A90"/>
    <w:rsid w:val="004E13B2"/>
    <w:rsid w:val="004E3186"/>
    <w:rsid w:val="004E4B20"/>
    <w:rsid w:val="004E4BC9"/>
    <w:rsid w:val="004E5121"/>
    <w:rsid w:val="004E6E99"/>
    <w:rsid w:val="004F48BC"/>
    <w:rsid w:val="0050026A"/>
    <w:rsid w:val="005060E7"/>
    <w:rsid w:val="00507C61"/>
    <w:rsid w:val="00510D9B"/>
    <w:rsid w:val="00511D23"/>
    <w:rsid w:val="005121E5"/>
    <w:rsid w:val="00513881"/>
    <w:rsid w:val="00514698"/>
    <w:rsid w:val="00514B36"/>
    <w:rsid w:val="005164E1"/>
    <w:rsid w:val="0052188D"/>
    <w:rsid w:val="005218F7"/>
    <w:rsid w:val="00525091"/>
    <w:rsid w:val="00526C93"/>
    <w:rsid w:val="00527271"/>
    <w:rsid w:val="0052758C"/>
    <w:rsid w:val="0053258F"/>
    <w:rsid w:val="0053272D"/>
    <w:rsid w:val="00534BD8"/>
    <w:rsid w:val="005423AB"/>
    <w:rsid w:val="00542D50"/>
    <w:rsid w:val="00543245"/>
    <w:rsid w:val="00543968"/>
    <w:rsid w:val="0054467E"/>
    <w:rsid w:val="00545BED"/>
    <w:rsid w:val="00547A73"/>
    <w:rsid w:val="00553D86"/>
    <w:rsid w:val="005546CE"/>
    <w:rsid w:val="005555B8"/>
    <w:rsid w:val="00556E96"/>
    <w:rsid w:val="0055735D"/>
    <w:rsid w:val="00560801"/>
    <w:rsid w:val="00563FBE"/>
    <w:rsid w:val="00565857"/>
    <w:rsid w:val="005717BE"/>
    <w:rsid w:val="00575B2A"/>
    <w:rsid w:val="005865E8"/>
    <w:rsid w:val="00587011"/>
    <w:rsid w:val="005902F2"/>
    <w:rsid w:val="00592566"/>
    <w:rsid w:val="0059716C"/>
    <w:rsid w:val="005A06C1"/>
    <w:rsid w:val="005A2676"/>
    <w:rsid w:val="005B0200"/>
    <w:rsid w:val="005B247F"/>
    <w:rsid w:val="005B3868"/>
    <w:rsid w:val="005B585B"/>
    <w:rsid w:val="005C3D07"/>
    <w:rsid w:val="005D2F41"/>
    <w:rsid w:val="005D43E8"/>
    <w:rsid w:val="005D568D"/>
    <w:rsid w:val="005D5DFD"/>
    <w:rsid w:val="005D6DEE"/>
    <w:rsid w:val="005E1BC3"/>
    <w:rsid w:val="005E60C0"/>
    <w:rsid w:val="005F1FC0"/>
    <w:rsid w:val="005F379A"/>
    <w:rsid w:val="005F7092"/>
    <w:rsid w:val="00602600"/>
    <w:rsid w:val="00603C19"/>
    <w:rsid w:val="0061016D"/>
    <w:rsid w:val="00614867"/>
    <w:rsid w:val="00615546"/>
    <w:rsid w:val="006176F5"/>
    <w:rsid w:val="00626021"/>
    <w:rsid w:val="006264A8"/>
    <w:rsid w:val="00626C07"/>
    <w:rsid w:val="00633817"/>
    <w:rsid w:val="00635846"/>
    <w:rsid w:val="00636E73"/>
    <w:rsid w:val="006435A8"/>
    <w:rsid w:val="00643954"/>
    <w:rsid w:val="006455CF"/>
    <w:rsid w:val="00646C7D"/>
    <w:rsid w:val="00646D03"/>
    <w:rsid w:val="00650A61"/>
    <w:rsid w:val="006527D3"/>
    <w:rsid w:val="006542E9"/>
    <w:rsid w:val="006555B5"/>
    <w:rsid w:val="0065620D"/>
    <w:rsid w:val="00660852"/>
    <w:rsid w:val="0066241F"/>
    <w:rsid w:val="00662500"/>
    <w:rsid w:val="00666728"/>
    <w:rsid w:val="00666C85"/>
    <w:rsid w:val="006714C3"/>
    <w:rsid w:val="00673D5C"/>
    <w:rsid w:val="006754D6"/>
    <w:rsid w:val="00680B02"/>
    <w:rsid w:val="00681ED3"/>
    <w:rsid w:val="006835E8"/>
    <w:rsid w:val="006840A2"/>
    <w:rsid w:val="006909F6"/>
    <w:rsid w:val="00691C60"/>
    <w:rsid w:val="006A10E2"/>
    <w:rsid w:val="006A145B"/>
    <w:rsid w:val="006A1557"/>
    <w:rsid w:val="006A1C03"/>
    <w:rsid w:val="006A2822"/>
    <w:rsid w:val="006A3CE1"/>
    <w:rsid w:val="006A42B6"/>
    <w:rsid w:val="006A451F"/>
    <w:rsid w:val="006B1A65"/>
    <w:rsid w:val="006B3AF2"/>
    <w:rsid w:val="006B3E7C"/>
    <w:rsid w:val="006B43FF"/>
    <w:rsid w:val="006B75C6"/>
    <w:rsid w:val="006B7D82"/>
    <w:rsid w:val="006C339E"/>
    <w:rsid w:val="006C5B2C"/>
    <w:rsid w:val="006D0A18"/>
    <w:rsid w:val="006D2602"/>
    <w:rsid w:val="006D27D6"/>
    <w:rsid w:val="006D68D9"/>
    <w:rsid w:val="006E06FD"/>
    <w:rsid w:val="006E0909"/>
    <w:rsid w:val="006E1F96"/>
    <w:rsid w:val="006E2274"/>
    <w:rsid w:val="006E4111"/>
    <w:rsid w:val="006E5AB5"/>
    <w:rsid w:val="006E6F80"/>
    <w:rsid w:val="006F183A"/>
    <w:rsid w:val="006F2875"/>
    <w:rsid w:val="006F2E23"/>
    <w:rsid w:val="006F48BC"/>
    <w:rsid w:val="006F60FB"/>
    <w:rsid w:val="006F77B5"/>
    <w:rsid w:val="00705F3E"/>
    <w:rsid w:val="00713264"/>
    <w:rsid w:val="007210BF"/>
    <w:rsid w:val="0072395D"/>
    <w:rsid w:val="00731E86"/>
    <w:rsid w:val="00734095"/>
    <w:rsid w:val="00744AF8"/>
    <w:rsid w:val="00751A9C"/>
    <w:rsid w:val="00753346"/>
    <w:rsid w:val="00754369"/>
    <w:rsid w:val="007564B8"/>
    <w:rsid w:val="00764FFD"/>
    <w:rsid w:val="00781564"/>
    <w:rsid w:val="0078305D"/>
    <w:rsid w:val="0078321E"/>
    <w:rsid w:val="00784BAC"/>
    <w:rsid w:val="0078547B"/>
    <w:rsid w:val="007871E2"/>
    <w:rsid w:val="00787717"/>
    <w:rsid w:val="00791344"/>
    <w:rsid w:val="007925E8"/>
    <w:rsid w:val="00794208"/>
    <w:rsid w:val="00794D09"/>
    <w:rsid w:val="007961ED"/>
    <w:rsid w:val="00796786"/>
    <w:rsid w:val="007A7E51"/>
    <w:rsid w:val="007B1B2D"/>
    <w:rsid w:val="007B2E0E"/>
    <w:rsid w:val="007B7247"/>
    <w:rsid w:val="007C223F"/>
    <w:rsid w:val="007D3049"/>
    <w:rsid w:val="007D34A7"/>
    <w:rsid w:val="007D4EC5"/>
    <w:rsid w:val="007E27C8"/>
    <w:rsid w:val="007F25BD"/>
    <w:rsid w:val="007F368D"/>
    <w:rsid w:val="007F6F87"/>
    <w:rsid w:val="008001CD"/>
    <w:rsid w:val="00801EDD"/>
    <w:rsid w:val="00803301"/>
    <w:rsid w:val="008034D0"/>
    <w:rsid w:val="00803950"/>
    <w:rsid w:val="008049E2"/>
    <w:rsid w:val="00806B7E"/>
    <w:rsid w:val="00806F77"/>
    <w:rsid w:val="00811538"/>
    <w:rsid w:val="00814C3F"/>
    <w:rsid w:val="00817877"/>
    <w:rsid w:val="00827B8D"/>
    <w:rsid w:val="00836CC7"/>
    <w:rsid w:val="00840D7A"/>
    <w:rsid w:val="00850A86"/>
    <w:rsid w:val="0085391E"/>
    <w:rsid w:val="0085482A"/>
    <w:rsid w:val="00857534"/>
    <w:rsid w:val="008601D7"/>
    <w:rsid w:val="00865DF5"/>
    <w:rsid w:val="008673F4"/>
    <w:rsid w:val="00870E86"/>
    <w:rsid w:val="00871455"/>
    <w:rsid w:val="008718FC"/>
    <w:rsid w:val="00880780"/>
    <w:rsid w:val="00885998"/>
    <w:rsid w:val="00886C13"/>
    <w:rsid w:val="00891D13"/>
    <w:rsid w:val="008923A1"/>
    <w:rsid w:val="00892532"/>
    <w:rsid w:val="008938FA"/>
    <w:rsid w:val="008A04A3"/>
    <w:rsid w:val="008A0C68"/>
    <w:rsid w:val="008A2642"/>
    <w:rsid w:val="008A5839"/>
    <w:rsid w:val="008A6EE3"/>
    <w:rsid w:val="008B1194"/>
    <w:rsid w:val="008B1F36"/>
    <w:rsid w:val="008B2B34"/>
    <w:rsid w:val="008B2BF0"/>
    <w:rsid w:val="008B7F65"/>
    <w:rsid w:val="008C0B98"/>
    <w:rsid w:val="008C3176"/>
    <w:rsid w:val="008C4311"/>
    <w:rsid w:val="008C4B62"/>
    <w:rsid w:val="008D2D30"/>
    <w:rsid w:val="008D6D24"/>
    <w:rsid w:val="008E324C"/>
    <w:rsid w:val="008E72A0"/>
    <w:rsid w:val="008E7882"/>
    <w:rsid w:val="008F1BB6"/>
    <w:rsid w:val="008F2976"/>
    <w:rsid w:val="008F29D2"/>
    <w:rsid w:val="008F3312"/>
    <w:rsid w:val="008F4238"/>
    <w:rsid w:val="008F5C2E"/>
    <w:rsid w:val="00900E19"/>
    <w:rsid w:val="00900E24"/>
    <w:rsid w:val="00901526"/>
    <w:rsid w:val="009029CB"/>
    <w:rsid w:val="009038A5"/>
    <w:rsid w:val="00903CF1"/>
    <w:rsid w:val="00905933"/>
    <w:rsid w:val="00905A92"/>
    <w:rsid w:val="0090694B"/>
    <w:rsid w:val="009137D3"/>
    <w:rsid w:val="0091748B"/>
    <w:rsid w:val="00927023"/>
    <w:rsid w:val="0093054A"/>
    <w:rsid w:val="0093148F"/>
    <w:rsid w:val="00941873"/>
    <w:rsid w:val="0094365A"/>
    <w:rsid w:val="009436A3"/>
    <w:rsid w:val="00945B48"/>
    <w:rsid w:val="00950255"/>
    <w:rsid w:val="00950D29"/>
    <w:rsid w:val="0095153E"/>
    <w:rsid w:val="00952A46"/>
    <w:rsid w:val="00954384"/>
    <w:rsid w:val="00957FA4"/>
    <w:rsid w:val="009676DB"/>
    <w:rsid w:val="00970802"/>
    <w:rsid w:val="009722DB"/>
    <w:rsid w:val="009735EB"/>
    <w:rsid w:val="00976C43"/>
    <w:rsid w:val="00977F18"/>
    <w:rsid w:val="0098018D"/>
    <w:rsid w:val="00982CE8"/>
    <w:rsid w:val="00982ECC"/>
    <w:rsid w:val="009846A0"/>
    <w:rsid w:val="009A79E2"/>
    <w:rsid w:val="009B0656"/>
    <w:rsid w:val="009B41A4"/>
    <w:rsid w:val="009B53B2"/>
    <w:rsid w:val="009C405E"/>
    <w:rsid w:val="009C4AA9"/>
    <w:rsid w:val="009C59AB"/>
    <w:rsid w:val="009C7C40"/>
    <w:rsid w:val="009D0B18"/>
    <w:rsid w:val="009D0E3E"/>
    <w:rsid w:val="009D1C9B"/>
    <w:rsid w:val="009D4ADF"/>
    <w:rsid w:val="009E2CDE"/>
    <w:rsid w:val="009F2067"/>
    <w:rsid w:val="009F310C"/>
    <w:rsid w:val="00A12B43"/>
    <w:rsid w:val="00A12FB3"/>
    <w:rsid w:val="00A13806"/>
    <w:rsid w:val="00A16035"/>
    <w:rsid w:val="00A17204"/>
    <w:rsid w:val="00A17A6E"/>
    <w:rsid w:val="00A21ACE"/>
    <w:rsid w:val="00A2227B"/>
    <w:rsid w:val="00A23093"/>
    <w:rsid w:val="00A253C1"/>
    <w:rsid w:val="00A2572A"/>
    <w:rsid w:val="00A25A75"/>
    <w:rsid w:val="00A27FD8"/>
    <w:rsid w:val="00A30458"/>
    <w:rsid w:val="00A33B52"/>
    <w:rsid w:val="00A35052"/>
    <w:rsid w:val="00A43A57"/>
    <w:rsid w:val="00A43EC1"/>
    <w:rsid w:val="00A43FD4"/>
    <w:rsid w:val="00A44D9D"/>
    <w:rsid w:val="00A472E7"/>
    <w:rsid w:val="00A51497"/>
    <w:rsid w:val="00A51D0C"/>
    <w:rsid w:val="00A522C6"/>
    <w:rsid w:val="00A52BD0"/>
    <w:rsid w:val="00A6116F"/>
    <w:rsid w:val="00A61F95"/>
    <w:rsid w:val="00A63F3D"/>
    <w:rsid w:val="00A63FE4"/>
    <w:rsid w:val="00A665BA"/>
    <w:rsid w:val="00A76FA1"/>
    <w:rsid w:val="00A80A2D"/>
    <w:rsid w:val="00A81987"/>
    <w:rsid w:val="00A821BE"/>
    <w:rsid w:val="00A826B8"/>
    <w:rsid w:val="00A83CE6"/>
    <w:rsid w:val="00A85FE8"/>
    <w:rsid w:val="00A86D9A"/>
    <w:rsid w:val="00A93C3D"/>
    <w:rsid w:val="00A94903"/>
    <w:rsid w:val="00A96914"/>
    <w:rsid w:val="00AA0C8C"/>
    <w:rsid w:val="00AA51A5"/>
    <w:rsid w:val="00AB077B"/>
    <w:rsid w:val="00AB44D6"/>
    <w:rsid w:val="00AB4D62"/>
    <w:rsid w:val="00AB509F"/>
    <w:rsid w:val="00AB58E2"/>
    <w:rsid w:val="00AB7998"/>
    <w:rsid w:val="00AC3C11"/>
    <w:rsid w:val="00AC6202"/>
    <w:rsid w:val="00AD11BE"/>
    <w:rsid w:val="00AD14AB"/>
    <w:rsid w:val="00AD2AFF"/>
    <w:rsid w:val="00AD2FDB"/>
    <w:rsid w:val="00AD5094"/>
    <w:rsid w:val="00AE1F0E"/>
    <w:rsid w:val="00AE6A1B"/>
    <w:rsid w:val="00AF048D"/>
    <w:rsid w:val="00AF2525"/>
    <w:rsid w:val="00AF258E"/>
    <w:rsid w:val="00AF33D8"/>
    <w:rsid w:val="00AF3DD5"/>
    <w:rsid w:val="00AF4380"/>
    <w:rsid w:val="00AF5EB1"/>
    <w:rsid w:val="00AF7602"/>
    <w:rsid w:val="00B004E7"/>
    <w:rsid w:val="00B03175"/>
    <w:rsid w:val="00B06502"/>
    <w:rsid w:val="00B074A3"/>
    <w:rsid w:val="00B07B58"/>
    <w:rsid w:val="00B14850"/>
    <w:rsid w:val="00B154F2"/>
    <w:rsid w:val="00B22542"/>
    <w:rsid w:val="00B26888"/>
    <w:rsid w:val="00B27658"/>
    <w:rsid w:val="00B30FDE"/>
    <w:rsid w:val="00B31362"/>
    <w:rsid w:val="00B35746"/>
    <w:rsid w:val="00B43818"/>
    <w:rsid w:val="00B455F6"/>
    <w:rsid w:val="00B4602E"/>
    <w:rsid w:val="00B46F85"/>
    <w:rsid w:val="00B47CEF"/>
    <w:rsid w:val="00B52096"/>
    <w:rsid w:val="00B52F73"/>
    <w:rsid w:val="00B55D22"/>
    <w:rsid w:val="00B55F73"/>
    <w:rsid w:val="00B649CA"/>
    <w:rsid w:val="00B66860"/>
    <w:rsid w:val="00B71A6B"/>
    <w:rsid w:val="00B72871"/>
    <w:rsid w:val="00B731C8"/>
    <w:rsid w:val="00B75693"/>
    <w:rsid w:val="00B76C86"/>
    <w:rsid w:val="00B77282"/>
    <w:rsid w:val="00B77F88"/>
    <w:rsid w:val="00B804BA"/>
    <w:rsid w:val="00B86564"/>
    <w:rsid w:val="00B95A25"/>
    <w:rsid w:val="00BA03C7"/>
    <w:rsid w:val="00BA09D7"/>
    <w:rsid w:val="00BA10CF"/>
    <w:rsid w:val="00BA1AA7"/>
    <w:rsid w:val="00BA5477"/>
    <w:rsid w:val="00BA7901"/>
    <w:rsid w:val="00BA7ADF"/>
    <w:rsid w:val="00BB09E5"/>
    <w:rsid w:val="00BB6569"/>
    <w:rsid w:val="00BB71F7"/>
    <w:rsid w:val="00BC43B7"/>
    <w:rsid w:val="00BC5ABD"/>
    <w:rsid w:val="00BC677B"/>
    <w:rsid w:val="00BD03EA"/>
    <w:rsid w:val="00BD4717"/>
    <w:rsid w:val="00BD566E"/>
    <w:rsid w:val="00BE1CE0"/>
    <w:rsid w:val="00BE36A9"/>
    <w:rsid w:val="00BE44E5"/>
    <w:rsid w:val="00BF3509"/>
    <w:rsid w:val="00BF5C1A"/>
    <w:rsid w:val="00BF678C"/>
    <w:rsid w:val="00BF76C4"/>
    <w:rsid w:val="00C014D1"/>
    <w:rsid w:val="00C0205F"/>
    <w:rsid w:val="00C05460"/>
    <w:rsid w:val="00C05728"/>
    <w:rsid w:val="00C06413"/>
    <w:rsid w:val="00C1303C"/>
    <w:rsid w:val="00C200D3"/>
    <w:rsid w:val="00C23780"/>
    <w:rsid w:val="00C27D34"/>
    <w:rsid w:val="00C30BB9"/>
    <w:rsid w:val="00C31C48"/>
    <w:rsid w:val="00C3250D"/>
    <w:rsid w:val="00C33142"/>
    <w:rsid w:val="00C34E5A"/>
    <w:rsid w:val="00C367C5"/>
    <w:rsid w:val="00C36D78"/>
    <w:rsid w:val="00C37C03"/>
    <w:rsid w:val="00C427D4"/>
    <w:rsid w:val="00C52057"/>
    <w:rsid w:val="00C52DF8"/>
    <w:rsid w:val="00C52EB7"/>
    <w:rsid w:val="00C52F99"/>
    <w:rsid w:val="00C54126"/>
    <w:rsid w:val="00C54439"/>
    <w:rsid w:val="00C54639"/>
    <w:rsid w:val="00C54C19"/>
    <w:rsid w:val="00C54F7A"/>
    <w:rsid w:val="00C55113"/>
    <w:rsid w:val="00C55D0A"/>
    <w:rsid w:val="00C56E8E"/>
    <w:rsid w:val="00C64A05"/>
    <w:rsid w:val="00C65D16"/>
    <w:rsid w:val="00C66651"/>
    <w:rsid w:val="00C72136"/>
    <w:rsid w:val="00C73398"/>
    <w:rsid w:val="00C74342"/>
    <w:rsid w:val="00C746E0"/>
    <w:rsid w:val="00C74AC5"/>
    <w:rsid w:val="00C76EC2"/>
    <w:rsid w:val="00C83826"/>
    <w:rsid w:val="00C839D8"/>
    <w:rsid w:val="00C8484A"/>
    <w:rsid w:val="00C85C0C"/>
    <w:rsid w:val="00C86545"/>
    <w:rsid w:val="00C872ED"/>
    <w:rsid w:val="00C906D5"/>
    <w:rsid w:val="00C914B0"/>
    <w:rsid w:val="00C964D0"/>
    <w:rsid w:val="00CA1018"/>
    <w:rsid w:val="00CA2580"/>
    <w:rsid w:val="00CA3F70"/>
    <w:rsid w:val="00CA5E27"/>
    <w:rsid w:val="00CA7E0A"/>
    <w:rsid w:val="00CB0554"/>
    <w:rsid w:val="00CB74A8"/>
    <w:rsid w:val="00CC02B6"/>
    <w:rsid w:val="00CC5AD0"/>
    <w:rsid w:val="00CD0264"/>
    <w:rsid w:val="00CD3CE2"/>
    <w:rsid w:val="00CD4D06"/>
    <w:rsid w:val="00CD5FBC"/>
    <w:rsid w:val="00CE1C90"/>
    <w:rsid w:val="00CE7D02"/>
    <w:rsid w:val="00CF1070"/>
    <w:rsid w:val="00CF37F6"/>
    <w:rsid w:val="00CF7069"/>
    <w:rsid w:val="00D01D88"/>
    <w:rsid w:val="00D02A57"/>
    <w:rsid w:val="00D063E9"/>
    <w:rsid w:val="00D07A07"/>
    <w:rsid w:val="00D1098B"/>
    <w:rsid w:val="00D139EA"/>
    <w:rsid w:val="00D21D65"/>
    <w:rsid w:val="00D226E4"/>
    <w:rsid w:val="00D23834"/>
    <w:rsid w:val="00D2768D"/>
    <w:rsid w:val="00D3147D"/>
    <w:rsid w:val="00D31F10"/>
    <w:rsid w:val="00D41692"/>
    <w:rsid w:val="00D41B75"/>
    <w:rsid w:val="00D45961"/>
    <w:rsid w:val="00D529C5"/>
    <w:rsid w:val="00D5480E"/>
    <w:rsid w:val="00D5648E"/>
    <w:rsid w:val="00D57BDF"/>
    <w:rsid w:val="00D748C7"/>
    <w:rsid w:val="00D754B9"/>
    <w:rsid w:val="00D75D64"/>
    <w:rsid w:val="00D76C58"/>
    <w:rsid w:val="00D879A1"/>
    <w:rsid w:val="00D91259"/>
    <w:rsid w:val="00D918DF"/>
    <w:rsid w:val="00D947D3"/>
    <w:rsid w:val="00D9587A"/>
    <w:rsid w:val="00DA1E0D"/>
    <w:rsid w:val="00DA5855"/>
    <w:rsid w:val="00DA6341"/>
    <w:rsid w:val="00DA65F1"/>
    <w:rsid w:val="00DB1E41"/>
    <w:rsid w:val="00DB3E12"/>
    <w:rsid w:val="00DB55F9"/>
    <w:rsid w:val="00DB65BF"/>
    <w:rsid w:val="00DB6BB1"/>
    <w:rsid w:val="00DC28A4"/>
    <w:rsid w:val="00DC3407"/>
    <w:rsid w:val="00DC4E12"/>
    <w:rsid w:val="00DD081A"/>
    <w:rsid w:val="00DD2F5B"/>
    <w:rsid w:val="00DD3BA1"/>
    <w:rsid w:val="00DE0F6C"/>
    <w:rsid w:val="00DE1D34"/>
    <w:rsid w:val="00DF4AB3"/>
    <w:rsid w:val="00E00640"/>
    <w:rsid w:val="00E02558"/>
    <w:rsid w:val="00E02F3C"/>
    <w:rsid w:val="00E115A4"/>
    <w:rsid w:val="00E16DC0"/>
    <w:rsid w:val="00E21D3B"/>
    <w:rsid w:val="00E243F8"/>
    <w:rsid w:val="00E25115"/>
    <w:rsid w:val="00E26D5C"/>
    <w:rsid w:val="00E30D82"/>
    <w:rsid w:val="00E30E2B"/>
    <w:rsid w:val="00E356DD"/>
    <w:rsid w:val="00E4218F"/>
    <w:rsid w:val="00E432B0"/>
    <w:rsid w:val="00E434EF"/>
    <w:rsid w:val="00E437D7"/>
    <w:rsid w:val="00E43D9F"/>
    <w:rsid w:val="00E455DF"/>
    <w:rsid w:val="00E50E0E"/>
    <w:rsid w:val="00E5151E"/>
    <w:rsid w:val="00E55300"/>
    <w:rsid w:val="00E573F7"/>
    <w:rsid w:val="00E60505"/>
    <w:rsid w:val="00E60763"/>
    <w:rsid w:val="00E614E7"/>
    <w:rsid w:val="00E62D36"/>
    <w:rsid w:val="00E6510B"/>
    <w:rsid w:val="00E66550"/>
    <w:rsid w:val="00E71202"/>
    <w:rsid w:val="00E75D47"/>
    <w:rsid w:val="00E80F63"/>
    <w:rsid w:val="00E81C38"/>
    <w:rsid w:val="00E8379A"/>
    <w:rsid w:val="00E86DE7"/>
    <w:rsid w:val="00E87462"/>
    <w:rsid w:val="00E9035C"/>
    <w:rsid w:val="00E91A92"/>
    <w:rsid w:val="00E92B7F"/>
    <w:rsid w:val="00E949C1"/>
    <w:rsid w:val="00E971A9"/>
    <w:rsid w:val="00EA66CC"/>
    <w:rsid w:val="00EA752D"/>
    <w:rsid w:val="00EB09C9"/>
    <w:rsid w:val="00EB11A5"/>
    <w:rsid w:val="00EB30F5"/>
    <w:rsid w:val="00EB5A93"/>
    <w:rsid w:val="00EB6A14"/>
    <w:rsid w:val="00EC7EA2"/>
    <w:rsid w:val="00ED0A13"/>
    <w:rsid w:val="00ED0F04"/>
    <w:rsid w:val="00ED0F84"/>
    <w:rsid w:val="00ED4F72"/>
    <w:rsid w:val="00EE04B5"/>
    <w:rsid w:val="00EE3326"/>
    <w:rsid w:val="00EE501B"/>
    <w:rsid w:val="00EF0EE5"/>
    <w:rsid w:val="00EF129D"/>
    <w:rsid w:val="00F0540D"/>
    <w:rsid w:val="00F070D6"/>
    <w:rsid w:val="00F0726E"/>
    <w:rsid w:val="00F10717"/>
    <w:rsid w:val="00F10912"/>
    <w:rsid w:val="00F140FB"/>
    <w:rsid w:val="00F15BE6"/>
    <w:rsid w:val="00F15C0D"/>
    <w:rsid w:val="00F21D95"/>
    <w:rsid w:val="00F32588"/>
    <w:rsid w:val="00F37676"/>
    <w:rsid w:val="00F41B44"/>
    <w:rsid w:val="00F42D18"/>
    <w:rsid w:val="00F43266"/>
    <w:rsid w:val="00F44C37"/>
    <w:rsid w:val="00F45204"/>
    <w:rsid w:val="00F50840"/>
    <w:rsid w:val="00F51C5E"/>
    <w:rsid w:val="00F5579E"/>
    <w:rsid w:val="00F56478"/>
    <w:rsid w:val="00F57D99"/>
    <w:rsid w:val="00F61241"/>
    <w:rsid w:val="00F62755"/>
    <w:rsid w:val="00F63F93"/>
    <w:rsid w:val="00F64220"/>
    <w:rsid w:val="00F6438E"/>
    <w:rsid w:val="00F65BF7"/>
    <w:rsid w:val="00F65C16"/>
    <w:rsid w:val="00F65D78"/>
    <w:rsid w:val="00F6656D"/>
    <w:rsid w:val="00F70A30"/>
    <w:rsid w:val="00F7520D"/>
    <w:rsid w:val="00F76EF5"/>
    <w:rsid w:val="00F81FC6"/>
    <w:rsid w:val="00F8733C"/>
    <w:rsid w:val="00F90DAF"/>
    <w:rsid w:val="00F91B37"/>
    <w:rsid w:val="00F92EF6"/>
    <w:rsid w:val="00F95890"/>
    <w:rsid w:val="00FA4F74"/>
    <w:rsid w:val="00FA773B"/>
    <w:rsid w:val="00FB0AC6"/>
    <w:rsid w:val="00FB0E97"/>
    <w:rsid w:val="00FB1BA1"/>
    <w:rsid w:val="00FB318F"/>
    <w:rsid w:val="00FB4051"/>
    <w:rsid w:val="00FC0925"/>
    <w:rsid w:val="00FC2599"/>
    <w:rsid w:val="00FC6036"/>
    <w:rsid w:val="00FC7243"/>
    <w:rsid w:val="00FD050F"/>
    <w:rsid w:val="00FD2CE9"/>
    <w:rsid w:val="00FD5822"/>
    <w:rsid w:val="00FD5DDD"/>
    <w:rsid w:val="00FD5E2E"/>
    <w:rsid w:val="00FE089C"/>
    <w:rsid w:val="00FE4448"/>
    <w:rsid w:val="00FF2FBA"/>
    <w:rsid w:val="00FF4E0C"/>
    <w:rsid w:val="018C1D03"/>
    <w:rsid w:val="02090CA9"/>
    <w:rsid w:val="0232418C"/>
    <w:rsid w:val="02C1531D"/>
    <w:rsid w:val="02DB1C25"/>
    <w:rsid w:val="02FE70EE"/>
    <w:rsid w:val="03906372"/>
    <w:rsid w:val="04B53CC4"/>
    <w:rsid w:val="052C1E73"/>
    <w:rsid w:val="05C06FB6"/>
    <w:rsid w:val="05D16ADB"/>
    <w:rsid w:val="07347725"/>
    <w:rsid w:val="07612A84"/>
    <w:rsid w:val="07D43CF9"/>
    <w:rsid w:val="092C6A9D"/>
    <w:rsid w:val="09EC2CDD"/>
    <w:rsid w:val="0B6C1413"/>
    <w:rsid w:val="0BC96B04"/>
    <w:rsid w:val="0CC0610A"/>
    <w:rsid w:val="0D320AA7"/>
    <w:rsid w:val="0E4137B5"/>
    <w:rsid w:val="0F0B6D4F"/>
    <w:rsid w:val="0F17764C"/>
    <w:rsid w:val="10BE733F"/>
    <w:rsid w:val="114C393B"/>
    <w:rsid w:val="123D6042"/>
    <w:rsid w:val="12CA5B28"/>
    <w:rsid w:val="135C53A3"/>
    <w:rsid w:val="148004C0"/>
    <w:rsid w:val="148775B8"/>
    <w:rsid w:val="155A7CD5"/>
    <w:rsid w:val="159C3459"/>
    <w:rsid w:val="15A85D05"/>
    <w:rsid w:val="16936712"/>
    <w:rsid w:val="16CB6CAA"/>
    <w:rsid w:val="184C5C5F"/>
    <w:rsid w:val="1A4B0BC9"/>
    <w:rsid w:val="1C5F35FB"/>
    <w:rsid w:val="1CFA5A39"/>
    <w:rsid w:val="1D2E5635"/>
    <w:rsid w:val="1D834151"/>
    <w:rsid w:val="1D9A1776"/>
    <w:rsid w:val="1DEA1D3A"/>
    <w:rsid w:val="1E187212"/>
    <w:rsid w:val="1F665027"/>
    <w:rsid w:val="20A86BA8"/>
    <w:rsid w:val="21475783"/>
    <w:rsid w:val="21621C41"/>
    <w:rsid w:val="21C84CCC"/>
    <w:rsid w:val="249055AC"/>
    <w:rsid w:val="25AB0C07"/>
    <w:rsid w:val="26A35B5A"/>
    <w:rsid w:val="272C6959"/>
    <w:rsid w:val="27C941A8"/>
    <w:rsid w:val="290530D0"/>
    <w:rsid w:val="29757A37"/>
    <w:rsid w:val="2B56528A"/>
    <w:rsid w:val="2C1C41A6"/>
    <w:rsid w:val="2C873857"/>
    <w:rsid w:val="2D0933DA"/>
    <w:rsid w:val="2F3B6F7B"/>
    <w:rsid w:val="30A65D60"/>
    <w:rsid w:val="30C95219"/>
    <w:rsid w:val="31060043"/>
    <w:rsid w:val="314C6946"/>
    <w:rsid w:val="31D31A3A"/>
    <w:rsid w:val="329165E5"/>
    <w:rsid w:val="32D04130"/>
    <w:rsid w:val="333B3439"/>
    <w:rsid w:val="345E62B7"/>
    <w:rsid w:val="34962F8F"/>
    <w:rsid w:val="354A7B9C"/>
    <w:rsid w:val="357418BA"/>
    <w:rsid w:val="36C86158"/>
    <w:rsid w:val="36D96FC3"/>
    <w:rsid w:val="380A4E1F"/>
    <w:rsid w:val="39223C01"/>
    <w:rsid w:val="3A724721"/>
    <w:rsid w:val="3B5953EB"/>
    <w:rsid w:val="3D0E7B24"/>
    <w:rsid w:val="3E3B5B6E"/>
    <w:rsid w:val="3F1457BD"/>
    <w:rsid w:val="3FF73D4A"/>
    <w:rsid w:val="41D02A92"/>
    <w:rsid w:val="428C60A6"/>
    <w:rsid w:val="42BA2C13"/>
    <w:rsid w:val="433615FF"/>
    <w:rsid w:val="445B5D01"/>
    <w:rsid w:val="447A524D"/>
    <w:rsid w:val="44BC26E7"/>
    <w:rsid w:val="454D1F64"/>
    <w:rsid w:val="458D30FB"/>
    <w:rsid w:val="45B77140"/>
    <w:rsid w:val="47C02A7A"/>
    <w:rsid w:val="480D788C"/>
    <w:rsid w:val="48145A2C"/>
    <w:rsid w:val="482D7E9C"/>
    <w:rsid w:val="48F365A1"/>
    <w:rsid w:val="4B182BCD"/>
    <w:rsid w:val="4B4B11F4"/>
    <w:rsid w:val="4D6E17A1"/>
    <w:rsid w:val="4D881EDA"/>
    <w:rsid w:val="4DC4528E"/>
    <w:rsid w:val="4E4C54B7"/>
    <w:rsid w:val="502A09AF"/>
    <w:rsid w:val="504306EC"/>
    <w:rsid w:val="509F7324"/>
    <w:rsid w:val="51E1562D"/>
    <w:rsid w:val="51F021AD"/>
    <w:rsid w:val="5337545B"/>
    <w:rsid w:val="54020E27"/>
    <w:rsid w:val="54386008"/>
    <w:rsid w:val="54B57A07"/>
    <w:rsid w:val="55430C48"/>
    <w:rsid w:val="5608326D"/>
    <w:rsid w:val="57074FD5"/>
    <w:rsid w:val="5754744C"/>
    <w:rsid w:val="575B631B"/>
    <w:rsid w:val="577D6F4D"/>
    <w:rsid w:val="58033882"/>
    <w:rsid w:val="58C919AA"/>
    <w:rsid w:val="591201B9"/>
    <w:rsid w:val="5AA4622B"/>
    <w:rsid w:val="5C221AB8"/>
    <w:rsid w:val="5C546C4B"/>
    <w:rsid w:val="5D5F2444"/>
    <w:rsid w:val="5FDE29B8"/>
    <w:rsid w:val="603A4BFD"/>
    <w:rsid w:val="604E4D3D"/>
    <w:rsid w:val="615D65F5"/>
    <w:rsid w:val="62B25299"/>
    <w:rsid w:val="62BB1E1D"/>
    <w:rsid w:val="639F57E1"/>
    <w:rsid w:val="63A76821"/>
    <w:rsid w:val="64182FBA"/>
    <w:rsid w:val="64413309"/>
    <w:rsid w:val="64F61D79"/>
    <w:rsid w:val="651144BD"/>
    <w:rsid w:val="65293EFC"/>
    <w:rsid w:val="65715BE7"/>
    <w:rsid w:val="658A426F"/>
    <w:rsid w:val="682C06D0"/>
    <w:rsid w:val="68702372"/>
    <w:rsid w:val="68B2691D"/>
    <w:rsid w:val="692F59BF"/>
    <w:rsid w:val="6A0B03FD"/>
    <w:rsid w:val="6A45236F"/>
    <w:rsid w:val="6A8A5229"/>
    <w:rsid w:val="6B3D425E"/>
    <w:rsid w:val="6C156DC9"/>
    <w:rsid w:val="6DB35C9D"/>
    <w:rsid w:val="6DDA1A15"/>
    <w:rsid w:val="6F3E1FDB"/>
    <w:rsid w:val="6FC331F4"/>
    <w:rsid w:val="703C6B0F"/>
    <w:rsid w:val="70462D3E"/>
    <w:rsid w:val="70DC55D0"/>
    <w:rsid w:val="71B44B4E"/>
    <w:rsid w:val="7201759C"/>
    <w:rsid w:val="72B55021"/>
    <w:rsid w:val="73686279"/>
    <w:rsid w:val="736C7A97"/>
    <w:rsid w:val="74EA7F14"/>
    <w:rsid w:val="76253019"/>
    <w:rsid w:val="76285A4E"/>
    <w:rsid w:val="76937619"/>
    <w:rsid w:val="76A4597E"/>
    <w:rsid w:val="76C054F3"/>
    <w:rsid w:val="7C0A3B9C"/>
    <w:rsid w:val="7C5D2009"/>
    <w:rsid w:val="7CB21DF4"/>
    <w:rsid w:val="7CCF40FC"/>
    <w:rsid w:val="7CFF7503"/>
    <w:rsid w:val="7D260703"/>
    <w:rsid w:val="7E180BA6"/>
    <w:rsid w:val="7F072E3D"/>
    <w:rsid w:val="7F890D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0" w:semiHidden="0"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仿宋" w:cs="Times New Roman"/>
      <w:kern w:val="2"/>
      <w:sz w:val="24"/>
      <w:szCs w:val="24"/>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Cambria" w:hAnsi="Cambria"/>
      <w:b/>
      <w:bCs/>
      <w:sz w:val="28"/>
      <w:szCs w:val="28"/>
    </w:rPr>
  </w:style>
  <w:style w:type="paragraph" w:styleId="6">
    <w:name w:val="heading 6"/>
    <w:basedOn w:val="1"/>
    <w:next w:val="1"/>
    <w:link w:val="84"/>
    <w:semiHidden/>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42"/>
    <w:qFormat/>
    <w:uiPriority w:val="0"/>
    <w:pPr>
      <w:ind w:firstLine="420" w:firstLineChars="200"/>
    </w:pPr>
  </w:style>
  <w:style w:type="paragraph" w:styleId="8">
    <w:name w:val="Document Map"/>
    <w:basedOn w:val="1"/>
    <w:link w:val="68"/>
    <w:semiHidden/>
    <w:qFormat/>
    <w:uiPriority w:val="0"/>
    <w:pPr>
      <w:shd w:val="clear" w:color="auto" w:fill="000080"/>
    </w:pPr>
  </w:style>
  <w:style w:type="paragraph" w:styleId="9">
    <w:name w:val="annotation text"/>
    <w:basedOn w:val="1"/>
    <w:link w:val="54"/>
    <w:qFormat/>
    <w:uiPriority w:val="99"/>
    <w:pPr>
      <w:jc w:val="left"/>
    </w:pPr>
    <w:rPr>
      <w:rFonts w:asciiTheme="minorHAnsi" w:hAnsiTheme="minorHAnsi" w:eastAsiaTheme="minorEastAsia" w:cstheme="minorBidi"/>
      <w:sz w:val="18"/>
      <w:szCs w:val="22"/>
    </w:rPr>
  </w:style>
  <w:style w:type="paragraph" w:styleId="10">
    <w:name w:val="Body Text"/>
    <w:basedOn w:val="1"/>
    <w:link w:val="63"/>
    <w:qFormat/>
    <w:uiPriority w:val="0"/>
    <w:pPr>
      <w:spacing w:after="120"/>
    </w:pPr>
  </w:style>
  <w:style w:type="paragraph" w:styleId="11">
    <w:name w:val="Body Text Indent"/>
    <w:basedOn w:val="1"/>
    <w:link w:val="43"/>
    <w:qFormat/>
    <w:uiPriority w:val="0"/>
    <w:pPr>
      <w:ind w:firstLine="630"/>
    </w:pPr>
    <w:rPr>
      <w:sz w:val="32"/>
      <w:szCs w:val="20"/>
    </w:rPr>
  </w:style>
  <w:style w:type="paragraph" w:styleId="12">
    <w:name w:val="toc 3"/>
    <w:basedOn w:val="1"/>
    <w:next w:val="1"/>
    <w:unhideWhenUsed/>
    <w:qFormat/>
    <w:uiPriority w:val="0"/>
    <w:pPr>
      <w:ind w:left="840" w:leftChars="400"/>
    </w:pPr>
  </w:style>
  <w:style w:type="paragraph" w:styleId="13">
    <w:name w:val="Plain Text"/>
    <w:basedOn w:val="1"/>
    <w:link w:val="56"/>
    <w:qFormat/>
    <w:uiPriority w:val="0"/>
    <w:pPr>
      <w:autoSpaceDE w:val="0"/>
      <w:autoSpaceDN w:val="0"/>
      <w:adjustRightInd w:val="0"/>
    </w:pPr>
    <w:rPr>
      <w:rFonts w:ascii="宋体" w:hAnsi="Tms Rmn" w:cstheme="minorBidi"/>
      <w:szCs w:val="22"/>
    </w:rPr>
  </w:style>
  <w:style w:type="paragraph" w:styleId="14">
    <w:name w:val="Date"/>
    <w:basedOn w:val="1"/>
    <w:next w:val="1"/>
    <w:link w:val="82"/>
    <w:semiHidden/>
    <w:unhideWhenUsed/>
    <w:qFormat/>
    <w:uiPriority w:val="99"/>
    <w:pPr>
      <w:ind w:left="100" w:leftChars="2500"/>
    </w:pPr>
  </w:style>
  <w:style w:type="paragraph" w:styleId="15">
    <w:name w:val="Body Text Indent 2"/>
    <w:basedOn w:val="1"/>
    <w:link w:val="46"/>
    <w:qFormat/>
    <w:uiPriority w:val="0"/>
    <w:pPr>
      <w:spacing w:after="120" w:line="480" w:lineRule="auto"/>
      <w:ind w:left="420" w:leftChars="200"/>
    </w:pPr>
  </w:style>
  <w:style w:type="paragraph" w:styleId="16">
    <w:name w:val="Balloon Text"/>
    <w:basedOn w:val="1"/>
    <w:link w:val="52"/>
    <w:qFormat/>
    <w:uiPriority w:val="0"/>
    <w:rPr>
      <w:sz w:val="18"/>
      <w:szCs w:val="18"/>
    </w:rPr>
  </w:style>
  <w:style w:type="paragraph" w:styleId="17">
    <w:name w:val="footer"/>
    <w:basedOn w:val="1"/>
    <w:link w:val="39"/>
    <w:unhideWhenUsed/>
    <w:qFormat/>
    <w:uiPriority w:val="99"/>
    <w:pPr>
      <w:tabs>
        <w:tab w:val="center" w:pos="4153"/>
        <w:tab w:val="right" w:pos="8306"/>
      </w:tabs>
      <w:snapToGrid w:val="0"/>
      <w:jc w:val="left"/>
    </w:pPr>
    <w:rPr>
      <w:sz w:val="18"/>
      <w:szCs w:val="18"/>
    </w:rPr>
  </w:style>
  <w:style w:type="paragraph" w:styleId="18">
    <w:name w:val="header"/>
    <w:basedOn w:val="1"/>
    <w:link w:val="38"/>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tabs>
        <w:tab w:val="right" w:leader="dot" w:pos="9345"/>
      </w:tabs>
      <w:spacing w:before="120" w:after="120"/>
      <w:ind w:right="-50" w:rightChars="-50"/>
      <w:jc w:val="left"/>
    </w:pPr>
    <w:rPr>
      <w:rFonts w:eastAsia="微软雅黑"/>
      <w:b/>
      <w:bCs/>
      <w:caps/>
      <w:sz w:val="20"/>
      <w:szCs w:val="20"/>
    </w:rPr>
  </w:style>
  <w:style w:type="paragraph" w:styleId="20">
    <w:name w:val="Subtitle"/>
    <w:basedOn w:val="1"/>
    <w:next w:val="1"/>
    <w:link w:val="79"/>
    <w:qFormat/>
    <w:uiPriority w:val="11"/>
    <w:pPr>
      <w:spacing w:before="240" w:after="60" w:line="312" w:lineRule="auto"/>
      <w:jc w:val="center"/>
      <w:outlineLvl w:val="1"/>
    </w:pPr>
    <w:rPr>
      <w:rFonts w:ascii="Cambria" w:hAnsi="Cambria"/>
      <w:b/>
      <w:bCs/>
      <w:kern w:val="28"/>
      <w:sz w:val="32"/>
      <w:szCs w:val="32"/>
    </w:rPr>
  </w:style>
  <w:style w:type="paragraph" w:styleId="21">
    <w:name w:val="Body Text Indent 3"/>
    <w:basedOn w:val="1"/>
    <w:link w:val="47"/>
    <w:qFormat/>
    <w:uiPriority w:val="0"/>
    <w:pPr>
      <w:spacing w:after="120"/>
      <w:ind w:left="420" w:leftChars="200"/>
    </w:pPr>
    <w:rPr>
      <w:sz w:val="16"/>
      <w:szCs w:val="16"/>
    </w:rPr>
  </w:style>
  <w:style w:type="paragraph" w:styleId="22">
    <w:name w:val="toc 2"/>
    <w:basedOn w:val="1"/>
    <w:next w:val="1"/>
    <w:unhideWhenUsed/>
    <w:qFormat/>
    <w:uiPriority w:val="0"/>
    <w:pPr>
      <w:spacing w:line="400" w:lineRule="exact"/>
      <w:ind w:left="210" w:leftChars="100" w:firstLine="480" w:firstLineChars="200"/>
      <w:jc w:val="left"/>
    </w:pPr>
    <w:rPr>
      <w:smallCaps/>
      <w:color w:val="000000"/>
    </w:rPr>
  </w:style>
  <w:style w:type="paragraph" w:styleId="23">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24">
    <w:name w:val="Title"/>
    <w:basedOn w:val="1"/>
    <w:next w:val="1"/>
    <w:link w:val="78"/>
    <w:qFormat/>
    <w:uiPriority w:val="10"/>
    <w:pPr>
      <w:spacing w:before="240" w:after="60"/>
      <w:jc w:val="center"/>
      <w:outlineLvl w:val="0"/>
    </w:pPr>
    <w:rPr>
      <w:rFonts w:ascii="Cambria" w:hAnsi="Cambria"/>
      <w:b/>
      <w:bCs/>
      <w:sz w:val="32"/>
      <w:szCs w:val="32"/>
    </w:rPr>
  </w:style>
  <w:style w:type="paragraph" w:styleId="25">
    <w:name w:val="annotation subject"/>
    <w:basedOn w:val="9"/>
    <w:next w:val="9"/>
    <w:link w:val="74"/>
    <w:qFormat/>
    <w:uiPriority w:val="0"/>
    <w:rPr>
      <w:b/>
      <w:bCs/>
      <w:sz w:val="21"/>
      <w:szCs w:val="24"/>
    </w:rPr>
  </w:style>
  <w:style w:type="table" w:styleId="27">
    <w:name w:val="Table Grid"/>
    <w:basedOn w:val="26"/>
    <w:qFormat/>
    <w:uiPriority w:val="0"/>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rPr>
      <w:b/>
      <w:bCs/>
    </w:rPr>
  </w:style>
  <w:style w:type="character" w:styleId="30">
    <w:name w:val="page number"/>
    <w:basedOn w:val="28"/>
    <w:qFormat/>
    <w:uiPriority w:val="0"/>
  </w:style>
  <w:style w:type="character" w:styleId="31">
    <w:name w:val="FollowedHyperlink"/>
    <w:unhideWhenUsed/>
    <w:qFormat/>
    <w:uiPriority w:val="0"/>
    <w:rPr>
      <w:color w:val="800080"/>
      <w:u w:val="single"/>
    </w:rPr>
  </w:style>
  <w:style w:type="character" w:styleId="32">
    <w:name w:val="Hyperlink"/>
    <w:qFormat/>
    <w:uiPriority w:val="99"/>
    <w:rPr>
      <w:color w:val="0000FF"/>
      <w:u w:val="single"/>
    </w:rPr>
  </w:style>
  <w:style w:type="character" w:styleId="33">
    <w:name w:val="annotation reference"/>
    <w:qFormat/>
    <w:uiPriority w:val="99"/>
    <w:rPr>
      <w:sz w:val="21"/>
      <w:szCs w:val="21"/>
    </w:rPr>
  </w:style>
  <w:style w:type="character" w:customStyle="1" w:styleId="34">
    <w:name w:val="标题 1 字符"/>
    <w:basedOn w:val="28"/>
    <w:link w:val="2"/>
    <w:qFormat/>
    <w:uiPriority w:val="0"/>
    <w:rPr>
      <w:rFonts w:ascii="Times New Roman" w:hAnsi="Times New Roman" w:eastAsia="宋体" w:cs="Times New Roman"/>
      <w:b/>
      <w:bCs/>
      <w:kern w:val="44"/>
      <w:sz w:val="44"/>
      <w:szCs w:val="44"/>
    </w:rPr>
  </w:style>
  <w:style w:type="character" w:customStyle="1" w:styleId="35">
    <w:name w:val="标题 2 字符"/>
    <w:basedOn w:val="28"/>
    <w:link w:val="3"/>
    <w:qFormat/>
    <w:uiPriority w:val="0"/>
    <w:rPr>
      <w:rFonts w:ascii="Arial" w:hAnsi="Arial" w:eastAsia="黑体" w:cs="Times New Roman"/>
      <w:b/>
      <w:bCs/>
      <w:sz w:val="32"/>
      <w:szCs w:val="32"/>
    </w:rPr>
  </w:style>
  <w:style w:type="character" w:customStyle="1" w:styleId="36">
    <w:name w:val="标题 3 字符"/>
    <w:basedOn w:val="28"/>
    <w:link w:val="4"/>
    <w:qFormat/>
    <w:uiPriority w:val="0"/>
    <w:rPr>
      <w:rFonts w:ascii="Times New Roman" w:hAnsi="Times New Roman" w:eastAsia="宋体" w:cs="Times New Roman"/>
      <w:b/>
      <w:bCs/>
      <w:sz w:val="32"/>
      <w:szCs w:val="32"/>
    </w:rPr>
  </w:style>
  <w:style w:type="character" w:customStyle="1" w:styleId="37">
    <w:name w:val="标题 4 字符"/>
    <w:basedOn w:val="28"/>
    <w:link w:val="5"/>
    <w:qFormat/>
    <w:uiPriority w:val="0"/>
    <w:rPr>
      <w:rFonts w:ascii="Cambria" w:hAnsi="Cambria" w:eastAsia="宋体" w:cs="Times New Roman"/>
      <w:b/>
      <w:bCs/>
      <w:sz w:val="28"/>
      <w:szCs w:val="28"/>
    </w:rPr>
  </w:style>
  <w:style w:type="character" w:customStyle="1" w:styleId="38">
    <w:name w:val="页眉 字符"/>
    <w:basedOn w:val="28"/>
    <w:link w:val="18"/>
    <w:qFormat/>
    <w:uiPriority w:val="0"/>
    <w:rPr>
      <w:rFonts w:ascii="Times New Roman" w:hAnsi="Times New Roman" w:eastAsia="宋体" w:cs="Times New Roman"/>
      <w:sz w:val="18"/>
      <w:szCs w:val="18"/>
    </w:rPr>
  </w:style>
  <w:style w:type="character" w:customStyle="1" w:styleId="39">
    <w:name w:val="页脚 字符"/>
    <w:basedOn w:val="28"/>
    <w:link w:val="17"/>
    <w:qFormat/>
    <w:uiPriority w:val="99"/>
    <w:rPr>
      <w:rFonts w:ascii="Times New Roman" w:hAnsi="Times New Roman" w:eastAsia="宋体" w:cs="Times New Roman"/>
      <w:sz w:val="18"/>
      <w:szCs w:val="18"/>
    </w:rPr>
  </w:style>
  <w:style w:type="character" w:customStyle="1" w:styleId="40">
    <w:name w:val="页脚 Char1"/>
    <w:qFormat/>
    <w:uiPriority w:val="0"/>
    <w:rPr>
      <w:rFonts w:eastAsia="宋体"/>
      <w:kern w:val="2"/>
      <w:sz w:val="18"/>
      <w:lang w:val="en-US" w:eastAsia="zh-CN" w:bidi="ar-SA"/>
    </w:rPr>
  </w:style>
  <w:style w:type="character" w:customStyle="1" w:styleId="41">
    <w:name w:val="页眉 Char1"/>
    <w:qFormat/>
    <w:uiPriority w:val="0"/>
    <w:rPr>
      <w:rFonts w:eastAsia="宋体"/>
      <w:kern w:val="2"/>
      <w:sz w:val="18"/>
      <w:lang w:val="en-US" w:eastAsia="zh-CN" w:bidi="ar-SA"/>
    </w:rPr>
  </w:style>
  <w:style w:type="character" w:customStyle="1" w:styleId="42">
    <w:name w:val="正文缩进 字符"/>
    <w:link w:val="7"/>
    <w:qFormat/>
    <w:uiPriority w:val="0"/>
    <w:rPr>
      <w:rFonts w:ascii="Times New Roman" w:hAnsi="Times New Roman" w:eastAsia="宋体" w:cs="Times New Roman"/>
      <w:szCs w:val="24"/>
    </w:rPr>
  </w:style>
  <w:style w:type="character" w:customStyle="1" w:styleId="43">
    <w:name w:val="正文文本缩进 字符"/>
    <w:basedOn w:val="28"/>
    <w:link w:val="11"/>
    <w:qFormat/>
    <w:uiPriority w:val="0"/>
    <w:rPr>
      <w:rFonts w:ascii="Times New Roman" w:hAnsi="Times New Roman" w:eastAsia="宋体" w:cs="Times New Roman"/>
      <w:sz w:val="32"/>
      <w:szCs w:val="20"/>
    </w:rPr>
  </w:style>
  <w:style w:type="paragraph" w:customStyle="1" w:styleId="44">
    <w:name w:val="正文首行缩进两字符"/>
    <w:basedOn w:val="1"/>
    <w:qFormat/>
    <w:uiPriority w:val="99"/>
    <w:pPr>
      <w:ind w:firstLine="200" w:firstLineChars="200"/>
    </w:pPr>
  </w:style>
  <w:style w:type="paragraph" w:customStyle="1" w:styleId="45">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6">
    <w:name w:val="正文文本缩进 2 字符"/>
    <w:basedOn w:val="28"/>
    <w:link w:val="15"/>
    <w:qFormat/>
    <w:uiPriority w:val="0"/>
    <w:rPr>
      <w:rFonts w:ascii="Times New Roman" w:hAnsi="Times New Roman" w:eastAsia="宋体" w:cs="Times New Roman"/>
      <w:szCs w:val="24"/>
    </w:rPr>
  </w:style>
  <w:style w:type="character" w:customStyle="1" w:styleId="47">
    <w:name w:val="正文文本缩进 3 字符"/>
    <w:basedOn w:val="28"/>
    <w:link w:val="21"/>
    <w:qFormat/>
    <w:uiPriority w:val="0"/>
    <w:rPr>
      <w:rFonts w:ascii="Times New Roman" w:hAnsi="Times New Roman" w:eastAsia="宋体" w:cs="Times New Roman"/>
      <w:sz w:val="16"/>
      <w:szCs w:val="16"/>
    </w:rPr>
  </w:style>
  <w:style w:type="paragraph" w:customStyle="1" w:styleId="4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9">
    <w:name w:val="表格"/>
    <w:basedOn w:val="1"/>
    <w:qFormat/>
    <w:uiPriority w:val="0"/>
    <w:pPr>
      <w:spacing w:line="400" w:lineRule="exact"/>
    </w:pPr>
  </w:style>
  <w:style w:type="paragraph" w:customStyle="1" w:styleId="50">
    <w:name w:val="样式 首行缩进:  2 字符"/>
    <w:basedOn w:val="1"/>
    <w:qFormat/>
    <w:uiPriority w:val="0"/>
    <w:pPr>
      <w:spacing w:line="400" w:lineRule="exact"/>
      <w:ind w:firstLine="200" w:firstLineChars="200"/>
    </w:pPr>
    <w:rPr>
      <w:rFonts w:cs="宋体"/>
    </w:rPr>
  </w:style>
  <w:style w:type="character" w:customStyle="1" w:styleId="51">
    <w:name w:val="（符号）邀请函中一、"/>
    <w:qFormat/>
    <w:uiPriority w:val="0"/>
    <w:rPr>
      <w:rFonts w:ascii="黑体" w:hAnsi="黑体" w:eastAsia="黑体"/>
      <w:b/>
      <w:bCs/>
      <w:sz w:val="24"/>
    </w:rPr>
  </w:style>
  <w:style w:type="character" w:customStyle="1" w:styleId="52">
    <w:name w:val="批注框文本 字符"/>
    <w:basedOn w:val="28"/>
    <w:link w:val="16"/>
    <w:qFormat/>
    <w:uiPriority w:val="0"/>
    <w:rPr>
      <w:rFonts w:ascii="Times New Roman" w:hAnsi="Times New Roman" w:eastAsia="宋体" w:cs="Times New Roman"/>
      <w:sz w:val="18"/>
      <w:szCs w:val="18"/>
    </w:rPr>
  </w:style>
  <w:style w:type="character" w:customStyle="1" w:styleId="53">
    <w:name w:val="Char Char9"/>
    <w:qFormat/>
    <w:uiPriority w:val="0"/>
    <w:rPr>
      <w:kern w:val="2"/>
      <w:sz w:val="21"/>
    </w:rPr>
  </w:style>
  <w:style w:type="character" w:customStyle="1" w:styleId="54">
    <w:name w:val="批注文字 字符"/>
    <w:basedOn w:val="28"/>
    <w:link w:val="9"/>
    <w:qFormat/>
    <w:uiPriority w:val="99"/>
    <w:rPr>
      <w:sz w:val="18"/>
    </w:rPr>
  </w:style>
  <w:style w:type="character" w:customStyle="1" w:styleId="55">
    <w:name w:val="批注文字 Char"/>
    <w:basedOn w:val="28"/>
    <w:qFormat/>
    <w:uiPriority w:val="99"/>
    <w:rPr>
      <w:rFonts w:ascii="Times New Roman" w:hAnsi="Times New Roman" w:eastAsia="宋体" w:cs="Times New Roman"/>
      <w:szCs w:val="24"/>
    </w:rPr>
  </w:style>
  <w:style w:type="character" w:customStyle="1" w:styleId="56">
    <w:name w:val="纯文本 字符"/>
    <w:link w:val="13"/>
    <w:unhideWhenUsed/>
    <w:qFormat/>
    <w:uiPriority w:val="0"/>
    <w:rPr>
      <w:rFonts w:ascii="宋体" w:hAnsi="Tms Rmn" w:eastAsia="宋体"/>
    </w:rPr>
  </w:style>
  <w:style w:type="character" w:customStyle="1" w:styleId="57">
    <w:name w:val="纯文本 Char1"/>
    <w:basedOn w:val="28"/>
    <w:qFormat/>
    <w:uiPriority w:val="99"/>
    <w:rPr>
      <w:rFonts w:ascii="宋体" w:hAnsi="Courier New" w:eastAsia="宋体" w:cs="Courier New"/>
      <w:szCs w:val="21"/>
    </w:rPr>
  </w:style>
  <w:style w:type="paragraph" w:customStyle="1" w:styleId="58">
    <w:name w:val="GW-正文"/>
    <w:basedOn w:val="1"/>
    <w:link w:val="59"/>
    <w:qFormat/>
    <w:uiPriority w:val="0"/>
    <w:pPr>
      <w:ind w:firstLine="200" w:firstLineChars="200"/>
    </w:pPr>
    <w:rPr>
      <w:rFonts w:eastAsia="仿宋_GB2312"/>
    </w:rPr>
  </w:style>
  <w:style w:type="character" w:customStyle="1" w:styleId="59">
    <w:name w:val="GW-正文 Char"/>
    <w:link w:val="58"/>
    <w:qFormat/>
    <w:uiPriority w:val="0"/>
    <w:rPr>
      <w:rFonts w:ascii="Times New Roman" w:hAnsi="Times New Roman" w:eastAsia="仿宋_GB2312" w:cs="Times New Roman"/>
      <w:sz w:val="24"/>
      <w:szCs w:val="24"/>
    </w:rPr>
  </w:style>
  <w:style w:type="paragraph" w:styleId="60">
    <w:name w:val="List Paragraph"/>
    <w:basedOn w:val="1"/>
    <w:link w:val="61"/>
    <w:qFormat/>
    <w:uiPriority w:val="34"/>
    <w:pPr>
      <w:ind w:firstLine="420" w:firstLineChars="200"/>
    </w:pPr>
  </w:style>
  <w:style w:type="character" w:customStyle="1" w:styleId="61">
    <w:name w:val="列表段落 字符"/>
    <w:link w:val="60"/>
    <w:qFormat/>
    <w:uiPriority w:val="34"/>
    <w:rPr>
      <w:rFonts w:ascii="Times New Roman" w:hAnsi="Times New Roman" w:eastAsia="宋体" w:cs="Times New Roman"/>
      <w:szCs w:val="24"/>
    </w:rPr>
  </w:style>
  <w:style w:type="paragraph" w:customStyle="1" w:styleId="62">
    <w:name w:val="标3"/>
    <w:basedOn w:val="1"/>
    <w:qFormat/>
    <w:uiPriority w:val="0"/>
    <w:pPr>
      <w:tabs>
        <w:tab w:val="left" w:pos="1740"/>
      </w:tabs>
      <w:adjustRightInd w:val="0"/>
      <w:snapToGrid w:val="0"/>
      <w:spacing w:before="50"/>
      <w:ind w:left="1740" w:hanging="420"/>
      <w:outlineLvl w:val="2"/>
    </w:pPr>
    <w:rPr>
      <w:rFonts w:ascii="Arial Narrow" w:hAnsi="Arial Narrow" w:eastAsia="仿宋_GB2312"/>
      <w:sz w:val="28"/>
      <w:szCs w:val="20"/>
    </w:rPr>
  </w:style>
  <w:style w:type="character" w:customStyle="1" w:styleId="63">
    <w:name w:val="正文文本 字符"/>
    <w:basedOn w:val="28"/>
    <w:link w:val="10"/>
    <w:qFormat/>
    <w:uiPriority w:val="0"/>
    <w:rPr>
      <w:rFonts w:ascii="Times New Roman" w:hAnsi="Times New Roman" w:eastAsia="宋体" w:cs="Times New Roman"/>
      <w:szCs w:val="24"/>
    </w:rPr>
  </w:style>
  <w:style w:type="character" w:customStyle="1" w:styleId="64">
    <w:name w:val="标题 2 Char Char"/>
    <w:qFormat/>
    <w:uiPriority w:val="0"/>
    <w:rPr>
      <w:rFonts w:ascii="Arial" w:hAnsi="Arial" w:eastAsia="黑体"/>
      <w:b/>
      <w:kern w:val="2"/>
      <w:sz w:val="28"/>
      <w:lang w:val="en-US" w:eastAsia="zh-CN" w:bidi="ar-SA"/>
    </w:rPr>
  </w:style>
  <w:style w:type="character" w:customStyle="1" w:styleId="65">
    <w:name w:val="标题 1 Char1"/>
    <w:qFormat/>
    <w:uiPriority w:val="0"/>
    <w:rPr>
      <w:b/>
      <w:bCs/>
      <w:kern w:val="44"/>
      <w:sz w:val="44"/>
      <w:szCs w:val="44"/>
    </w:rPr>
  </w:style>
  <w:style w:type="character" w:customStyle="1" w:styleId="66">
    <w:name w:val="（符号）三标题1.1 Char"/>
    <w:link w:val="67"/>
    <w:qFormat/>
    <w:locked/>
    <w:uiPriority w:val="0"/>
    <w:rPr>
      <w:rFonts w:ascii="宋体" w:hAnsi="宋体" w:eastAsia="宋体"/>
      <w:sz w:val="24"/>
      <w:szCs w:val="24"/>
    </w:rPr>
  </w:style>
  <w:style w:type="paragraph" w:customStyle="1" w:styleId="67">
    <w:name w:val="（符号）三标题1.1"/>
    <w:basedOn w:val="1"/>
    <w:link w:val="66"/>
    <w:qFormat/>
    <w:uiPriority w:val="0"/>
    <w:pPr>
      <w:tabs>
        <w:tab w:val="left" w:pos="700"/>
        <w:tab w:val="left" w:pos="840"/>
      </w:tabs>
      <w:spacing w:line="500" w:lineRule="exact"/>
      <w:ind w:left="840" w:hanging="420"/>
    </w:pPr>
    <w:rPr>
      <w:rFonts w:ascii="宋体" w:hAnsi="宋体" w:cstheme="minorBidi"/>
    </w:rPr>
  </w:style>
  <w:style w:type="character" w:customStyle="1" w:styleId="68">
    <w:name w:val="文档结构图 字符"/>
    <w:basedOn w:val="28"/>
    <w:link w:val="8"/>
    <w:semiHidden/>
    <w:qFormat/>
    <w:uiPriority w:val="0"/>
    <w:rPr>
      <w:rFonts w:ascii="Times New Roman" w:hAnsi="Times New Roman" w:eastAsia="宋体" w:cs="Times New Roman"/>
      <w:szCs w:val="24"/>
      <w:shd w:val="clear" w:color="auto" w:fill="000080"/>
    </w:rPr>
  </w:style>
  <w:style w:type="paragraph" w:customStyle="1" w:styleId="69">
    <w:name w:val="Char2 Char Char"/>
    <w:basedOn w:val="8"/>
    <w:qFormat/>
    <w:uiPriority w:val="0"/>
    <w:rPr>
      <w:rFonts w:ascii="Tahoma" w:hAnsi="Tahoma"/>
    </w:rPr>
  </w:style>
  <w:style w:type="paragraph" w:customStyle="1" w:styleId="70">
    <w:name w:val="正文2"/>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paragraph" w:customStyle="1" w:styleId="71">
    <w:name w:val="Char1"/>
    <w:basedOn w:val="1"/>
    <w:qFormat/>
    <w:uiPriority w:val="0"/>
    <w:rPr>
      <w:szCs w:val="21"/>
    </w:rPr>
  </w:style>
  <w:style w:type="paragraph" w:customStyle="1" w:styleId="72">
    <w:name w:val="正文1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73">
    <w:name w:val="Char2"/>
    <w:basedOn w:val="1"/>
    <w:qFormat/>
    <w:uiPriority w:val="0"/>
    <w:pPr>
      <w:adjustRightInd w:val="0"/>
      <w:spacing w:line="400" w:lineRule="exact"/>
      <w:ind w:firstLine="514" w:firstLineChars="200"/>
    </w:pPr>
    <w:rPr>
      <w:rFonts w:ascii="宋体" w:hAnsi="宋体"/>
      <w:b/>
      <w:spacing w:val="8"/>
      <w:kern w:val="0"/>
      <w:szCs w:val="20"/>
    </w:rPr>
  </w:style>
  <w:style w:type="character" w:customStyle="1" w:styleId="74">
    <w:name w:val="批注主题 字符"/>
    <w:basedOn w:val="55"/>
    <w:link w:val="25"/>
    <w:qFormat/>
    <w:uiPriority w:val="0"/>
    <w:rPr>
      <w:rFonts w:ascii="Times New Roman" w:hAnsi="Times New Roman" w:eastAsia="宋体" w:cs="Times New Roman"/>
      <w:b/>
      <w:bCs/>
      <w:szCs w:val="24"/>
    </w:rPr>
  </w:style>
  <w:style w:type="paragraph" w:customStyle="1" w:styleId="75">
    <w:name w:val="Char Char Char Char Char Char Char Char Char Char Char Char Char Char1 Char Char Char Char"/>
    <w:basedOn w:val="1"/>
    <w:qFormat/>
    <w:uiPriority w:val="0"/>
    <w:rPr>
      <w:szCs w:val="21"/>
    </w:rPr>
  </w:style>
  <w:style w:type="paragraph" w:customStyle="1" w:styleId="76">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77">
    <w:name w:val="font31"/>
    <w:qFormat/>
    <w:uiPriority w:val="0"/>
    <w:rPr>
      <w:rFonts w:hint="eastAsia" w:ascii="宋体" w:hAnsi="宋体" w:eastAsia="宋体" w:cs="宋体"/>
      <w:color w:val="000000"/>
      <w:sz w:val="21"/>
      <w:szCs w:val="21"/>
      <w:u w:val="none"/>
    </w:rPr>
  </w:style>
  <w:style w:type="character" w:customStyle="1" w:styleId="78">
    <w:name w:val="标题 字符"/>
    <w:basedOn w:val="28"/>
    <w:link w:val="24"/>
    <w:qFormat/>
    <w:uiPriority w:val="10"/>
    <w:rPr>
      <w:rFonts w:ascii="Cambria" w:hAnsi="Cambria" w:eastAsia="宋体" w:cs="Times New Roman"/>
      <w:b/>
      <w:bCs/>
      <w:sz w:val="32"/>
      <w:szCs w:val="32"/>
    </w:rPr>
  </w:style>
  <w:style w:type="character" w:customStyle="1" w:styleId="79">
    <w:name w:val="副标题 字符"/>
    <w:basedOn w:val="28"/>
    <w:link w:val="20"/>
    <w:qFormat/>
    <w:uiPriority w:val="11"/>
    <w:rPr>
      <w:rFonts w:ascii="Cambria" w:hAnsi="Cambria" w:eastAsia="宋体" w:cs="Times New Roman"/>
      <w:b/>
      <w:bCs/>
      <w:kern w:val="28"/>
      <w:sz w:val="32"/>
      <w:szCs w:val="32"/>
    </w:rPr>
  </w:style>
  <w:style w:type="paragraph" w:customStyle="1" w:styleId="8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81">
    <w:name w:val="正文 A"/>
    <w:next w:val="1"/>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82">
    <w:name w:val="日期 字符"/>
    <w:basedOn w:val="28"/>
    <w:link w:val="14"/>
    <w:semiHidden/>
    <w:qFormat/>
    <w:uiPriority w:val="99"/>
    <w:rPr>
      <w:rFonts w:ascii="Times New Roman" w:hAnsi="Times New Roman" w:eastAsia="宋体" w:cs="Times New Roman"/>
      <w:kern w:val="2"/>
      <w:sz w:val="21"/>
      <w:szCs w:val="24"/>
    </w:rPr>
  </w:style>
  <w:style w:type="paragraph" w:customStyle="1" w:styleId="83">
    <w:name w:val="Table Paragraph"/>
    <w:basedOn w:val="1"/>
    <w:qFormat/>
    <w:uiPriority w:val="1"/>
    <w:pPr>
      <w:autoSpaceDE w:val="0"/>
      <w:autoSpaceDN w:val="0"/>
      <w:adjustRightInd w:val="0"/>
      <w:jc w:val="left"/>
    </w:pPr>
    <w:rPr>
      <w:kern w:val="0"/>
    </w:rPr>
  </w:style>
  <w:style w:type="character" w:customStyle="1" w:styleId="84">
    <w:name w:val="标题 6 字符"/>
    <w:basedOn w:val="28"/>
    <w:link w:val="6"/>
    <w:semiHidden/>
    <w:qFormat/>
    <w:uiPriority w:val="9"/>
    <w:rPr>
      <w:rFonts w:asciiTheme="majorHAnsi" w:hAnsiTheme="majorHAnsi" w:eastAsiaTheme="majorEastAsia" w:cstheme="majorBidi"/>
      <w:b/>
      <w:bCs/>
      <w:kern w:val="2"/>
      <w:sz w:val="24"/>
      <w:szCs w:val="24"/>
    </w:rPr>
  </w:style>
  <w:style w:type="character" w:customStyle="1" w:styleId="85">
    <w:name w:val="m"/>
    <w:basedOn w:val="28"/>
    <w:qFormat/>
    <w:uiPriority w:val="0"/>
  </w:style>
  <w:style w:type="paragraph" w:customStyle="1" w:styleId="86">
    <w:name w:val="章标题"/>
    <w:next w:val="1"/>
    <w:link w:val="89"/>
    <w:qFormat/>
    <w:uiPriority w:val="0"/>
    <w:pPr>
      <w:numPr>
        <w:ilvl w:val="1"/>
        <w:numId w:val="1"/>
      </w:numPr>
      <w:spacing w:beforeLines="50" w:afterLines="50" w:line="460" w:lineRule="exact"/>
      <w:jc w:val="both"/>
      <w:outlineLvl w:val="0"/>
    </w:pPr>
    <w:rPr>
      <w:rFonts w:ascii="黑体" w:hAnsi="Times New Roman" w:eastAsia="黑体" w:cs="Times New Roman"/>
      <w:b/>
      <w:sz w:val="28"/>
      <w:lang w:val="en-US" w:eastAsia="zh-CN" w:bidi="ar-SA"/>
    </w:rPr>
  </w:style>
  <w:style w:type="paragraph" w:customStyle="1" w:styleId="87">
    <w:name w:val="二级条标题"/>
    <w:basedOn w:val="1"/>
    <w:qFormat/>
    <w:uiPriority w:val="0"/>
    <w:pPr>
      <w:numPr>
        <w:ilvl w:val="0"/>
        <w:numId w:val="1"/>
      </w:numPr>
      <w:spacing w:line="240" w:lineRule="auto"/>
    </w:pPr>
    <w:rPr>
      <w:rFonts w:eastAsia="宋体"/>
      <w:sz w:val="21"/>
    </w:rPr>
  </w:style>
  <w:style w:type="paragraph" w:customStyle="1" w:styleId="88">
    <w:name w:val="正文列项_字母"/>
    <w:basedOn w:val="1"/>
    <w:qFormat/>
    <w:uiPriority w:val="0"/>
    <w:pPr>
      <w:widowControl/>
      <w:numPr>
        <w:ilvl w:val="2"/>
        <w:numId w:val="1"/>
      </w:numPr>
      <w:autoSpaceDE w:val="0"/>
      <w:autoSpaceDN w:val="0"/>
      <w:spacing w:line="460" w:lineRule="exact"/>
      <w:ind w:left="450" w:leftChars="300" w:hanging="150" w:hangingChars="150"/>
      <w:outlineLvl w:val="6"/>
    </w:pPr>
    <w:rPr>
      <w:rFonts w:ascii="宋体" w:eastAsia="宋体"/>
      <w:kern w:val="0"/>
      <w:sz w:val="28"/>
      <w:szCs w:val="20"/>
    </w:rPr>
  </w:style>
  <w:style w:type="character" w:customStyle="1" w:styleId="89">
    <w:name w:val="章标题 Char Char"/>
    <w:link w:val="86"/>
    <w:qFormat/>
    <w:locked/>
    <w:uiPriority w:val="0"/>
    <w:rPr>
      <w:rFonts w:ascii="黑体" w:hAnsi="Times New Roman" w:eastAsia="黑体" w:cs="Times New Roman"/>
      <w:b/>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96047-3160-4176-883D-A4129F7661C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68</Pages>
  <Words>30019</Words>
  <Characters>31666</Characters>
  <Lines>243</Lines>
  <Paragraphs>68</Paragraphs>
  <TotalTime>2</TotalTime>
  <ScaleCrop>false</ScaleCrop>
  <LinksUpToDate>false</LinksUpToDate>
  <CharactersWithSpaces>32286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2021-04-19T11:10:00Z</dcterms:created>
  <dc:creator>邱燏智</dc:creator>
  <cp:lastModifiedBy>咖啡</cp:lastModifiedBy>
  <cp:lastPrinted>2019-06-21T06:30:00Z</cp:lastPrinted>
  <dcterms:modified xsi:type="dcterms:W3CDTF">2023-02-06T09:16:43Z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F2FCAFF3E2ED4D3D88C2B04A47524D19</vt:lpwstr>
  </property>
</Properties>
</file>